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7AF65" w14:textId="77777777" w:rsidR="00F76844" w:rsidRPr="00821E48" w:rsidRDefault="00F76844" w:rsidP="00B561C0">
      <w:pPr>
        <w:rPr>
          <w:rFonts w:eastAsia="Times New Roman" w:cs="Times New Roman"/>
          <w:bCs/>
          <w:color w:val="1B3D6D"/>
          <w:sz w:val="44"/>
          <w:szCs w:val="44"/>
        </w:rPr>
      </w:pPr>
      <w:r w:rsidRPr="00821E48">
        <w:rPr>
          <w:rFonts w:eastAsia="Times New Roman" w:cs="Times New Roman"/>
          <w:bCs/>
          <w:noProof/>
          <w:color w:val="1B3D6D"/>
          <w:sz w:val="44"/>
          <w:szCs w:val="44"/>
          <w:lang w:eastAsia="en-GB"/>
        </w:rPr>
        <w:drawing>
          <wp:anchor distT="0" distB="0" distL="114300" distR="114300" simplePos="0" relativeHeight="251659264" behindDoc="0" locked="0" layoutInCell="1" allowOverlap="1" wp14:anchorId="1D961895" wp14:editId="2239CFE7">
            <wp:simplePos x="0" y="0"/>
            <wp:positionH relativeFrom="column">
              <wp:posOffset>3417570</wp:posOffset>
            </wp:positionH>
            <wp:positionV relativeFrom="paragraph">
              <wp:posOffset>-577487</wp:posOffset>
            </wp:positionV>
            <wp:extent cx="2880360" cy="1810385"/>
            <wp:effectExtent l="0" t="0" r="0" b="0"/>
            <wp:wrapNone/>
            <wp:docPr id="1" name="Picture 1" descr="\\scotland.gov.uk\dc1\fs2_home\N320514\Reference\Presentations\000 New SPSO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land.gov.uk\dc1\fs2_home\N320514\Reference\Presentations\000 New SPSO logo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360" cy="181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080B3" w14:textId="77777777" w:rsidR="00F76844" w:rsidRPr="00821E48" w:rsidRDefault="00F76844" w:rsidP="00B561C0">
      <w:pPr>
        <w:rPr>
          <w:rFonts w:eastAsia="Times New Roman" w:cs="Times New Roman"/>
          <w:bCs/>
          <w:color w:val="1B3D6D"/>
          <w:sz w:val="44"/>
          <w:szCs w:val="44"/>
        </w:rPr>
      </w:pPr>
    </w:p>
    <w:p w14:paraId="0085FFB0" w14:textId="77777777" w:rsidR="00F76844" w:rsidRDefault="00F76844" w:rsidP="00B561C0">
      <w:pPr>
        <w:rPr>
          <w:rFonts w:eastAsia="Times New Roman" w:cs="Times New Roman"/>
          <w:bCs/>
          <w:color w:val="1B3D6D"/>
          <w:sz w:val="44"/>
          <w:szCs w:val="44"/>
        </w:rPr>
      </w:pPr>
    </w:p>
    <w:p w14:paraId="5862A300" w14:textId="77777777" w:rsidR="00821E48" w:rsidRPr="00821E48" w:rsidRDefault="00821E48" w:rsidP="00B561C0">
      <w:pPr>
        <w:rPr>
          <w:rFonts w:eastAsia="Times New Roman" w:cs="Times New Roman"/>
          <w:bCs/>
          <w:color w:val="1B3D6D"/>
          <w:sz w:val="44"/>
          <w:szCs w:val="44"/>
        </w:rPr>
      </w:pPr>
    </w:p>
    <w:p w14:paraId="053BE8BC" w14:textId="013A6E11" w:rsidR="00325A46" w:rsidRPr="00821E48" w:rsidRDefault="00A14928" w:rsidP="00821E48">
      <w:pPr>
        <w:rPr>
          <w:rFonts w:eastAsia="Times New Roman" w:cs="Times New Roman"/>
          <w:bCs/>
          <w:color w:val="1B3D6D"/>
          <w:sz w:val="44"/>
          <w:szCs w:val="44"/>
        </w:rPr>
      </w:pPr>
      <w:r w:rsidRPr="00821E48">
        <w:rPr>
          <w:rFonts w:eastAsia="Times New Roman" w:cs="Times New Roman"/>
          <w:bCs/>
          <w:color w:val="1B3D6D"/>
          <w:sz w:val="44"/>
          <w:szCs w:val="44"/>
        </w:rPr>
        <w:t>Invitation to tender</w:t>
      </w:r>
      <w:r w:rsidR="009D229B">
        <w:rPr>
          <w:rFonts w:eastAsia="Times New Roman" w:cs="Times New Roman"/>
          <w:bCs/>
          <w:color w:val="1B3D6D"/>
          <w:sz w:val="44"/>
          <w:szCs w:val="44"/>
        </w:rPr>
        <w:t xml:space="preserve"> (ITT)</w:t>
      </w:r>
      <w:r w:rsidRPr="00821E48">
        <w:rPr>
          <w:rFonts w:eastAsia="Times New Roman" w:cs="Times New Roman"/>
          <w:bCs/>
          <w:color w:val="1B3D6D"/>
          <w:sz w:val="44"/>
          <w:szCs w:val="44"/>
        </w:rPr>
        <w:t xml:space="preserve"> </w:t>
      </w:r>
      <w:r w:rsidR="00320375" w:rsidRPr="00821E48">
        <w:rPr>
          <w:rFonts w:eastAsia="Times New Roman" w:cs="Times New Roman"/>
          <w:bCs/>
          <w:color w:val="1B3D6D"/>
          <w:sz w:val="44"/>
          <w:szCs w:val="44"/>
        </w:rPr>
        <w:t>f</w:t>
      </w:r>
      <w:r w:rsidRPr="00821E48">
        <w:rPr>
          <w:rFonts w:eastAsia="Times New Roman" w:cs="Times New Roman"/>
          <w:bCs/>
          <w:color w:val="1B3D6D"/>
          <w:sz w:val="44"/>
          <w:szCs w:val="44"/>
        </w:rPr>
        <w:t xml:space="preserve">or </w:t>
      </w:r>
      <w:r w:rsidR="00325A46" w:rsidRPr="00821E48">
        <w:rPr>
          <w:rFonts w:eastAsia="Times New Roman" w:cs="Times New Roman"/>
          <w:bCs/>
          <w:color w:val="1B3D6D"/>
          <w:sz w:val="44"/>
          <w:szCs w:val="44"/>
        </w:rPr>
        <w:t xml:space="preserve">the provision of </w:t>
      </w:r>
    </w:p>
    <w:p w14:paraId="63C5E28C" w14:textId="17BD0AC8" w:rsidR="00821E48" w:rsidRPr="00821E48" w:rsidRDefault="002C3BE6" w:rsidP="00821E48">
      <w:pPr>
        <w:rPr>
          <w:rFonts w:eastAsia="Times New Roman" w:cs="Times New Roman"/>
          <w:bCs/>
          <w:color w:val="1B3D6D"/>
          <w:sz w:val="44"/>
          <w:szCs w:val="44"/>
        </w:rPr>
      </w:pPr>
      <w:r>
        <w:rPr>
          <w:rFonts w:eastAsia="Times New Roman" w:cs="Times New Roman"/>
          <w:b/>
          <w:color w:val="1B3D6D"/>
          <w:sz w:val="44"/>
          <w:szCs w:val="44"/>
        </w:rPr>
        <w:t>accountant</w:t>
      </w:r>
      <w:r w:rsidR="00325A46" w:rsidRPr="00821E48">
        <w:rPr>
          <w:rFonts w:eastAsia="Times New Roman" w:cs="Times New Roman"/>
          <w:b/>
          <w:color w:val="1B3D6D"/>
          <w:sz w:val="44"/>
          <w:szCs w:val="44"/>
        </w:rPr>
        <w:t xml:space="preserve"> services</w:t>
      </w:r>
      <w:r w:rsidR="00821E48" w:rsidRPr="00821E48">
        <w:rPr>
          <w:rFonts w:eastAsia="Times New Roman" w:cs="Times New Roman"/>
          <w:bCs/>
          <w:color w:val="1B3D6D"/>
          <w:sz w:val="44"/>
          <w:szCs w:val="44"/>
        </w:rPr>
        <w:t xml:space="preserve"> to the</w:t>
      </w:r>
    </w:p>
    <w:p w14:paraId="3871B38D" w14:textId="56B473A8" w:rsidR="00821E48" w:rsidRPr="00821E48" w:rsidRDefault="00821E48" w:rsidP="00821E48">
      <w:pPr>
        <w:rPr>
          <w:rFonts w:eastAsia="Times New Roman" w:cs="Times New Roman"/>
          <w:bCs/>
          <w:color w:val="1B3D6D"/>
          <w:sz w:val="44"/>
          <w:szCs w:val="44"/>
        </w:rPr>
      </w:pPr>
      <w:r w:rsidRPr="00821E48">
        <w:rPr>
          <w:rFonts w:eastAsia="Times New Roman" w:cs="Times New Roman"/>
          <w:bCs/>
          <w:color w:val="1B3D6D"/>
          <w:sz w:val="44"/>
          <w:szCs w:val="44"/>
        </w:rPr>
        <w:t>Scottish Public Services Ombudsman (SPSO)</w:t>
      </w:r>
    </w:p>
    <w:p w14:paraId="5E14411C" w14:textId="7D01FCAA" w:rsidR="00A14928" w:rsidRPr="00821E48" w:rsidRDefault="00A14928" w:rsidP="00821E48">
      <w:pPr>
        <w:rPr>
          <w:rFonts w:eastAsia="Times New Roman" w:cs="Times New Roman"/>
          <w:bCs/>
          <w:color w:val="1B3D6D"/>
          <w:sz w:val="44"/>
          <w:szCs w:val="44"/>
        </w:rPr>
      </w:pPr>
    </w:p>
    <w:p w14:paraId="4A12AD2B" w14:textId="77777777" w:rsidR="00320375" w:rsidRPr="00821E48" w:rsidRDefault="00320375" w:rsidP="00821E48">
      <w:pPr>
        <w:rPr>
          <w:rFonts w:eastAsia="Times New Roman" w:cs="Times New Roman"/>
          <w:bCs/>
          <w:color w:val="1B3D6D"/>
          <w:sz w:val="44"/>
          <w:szCs w:val="44"/>
        </w:rPr>
      </w:pPr>
    </w:p>
    <w:p w14:paraId="5B4CCAC6" w14:textId="5DB18695" w:rsidR="00F76844" w:rsidRPr="00821E48" w:rsidRDefault="002C3BE6" w:rsidP="00821E48">
      <w:pPr>
        <w:rPr>
          <w:rFonts w:eastAsia="Times New Roman" w:cs="Times New Roman"/>
          <w:bCs/>
          <w:color w:val="1B3D6D"/>
          <w:sz w:val="44"/>
          <w:szCs w:val="44"/>
        </w:rPr>
      </w:pPr>
      <w:r>
        <w:rPr>
          <w:rFonts w:eastAsia="Times New Roman" w:cs="Times New Roman"/>
          <w:bCs/>
          <w:color w:val="1B3D6D"/>
          <w:sz w:val="44"/>
          <w:szCs w:val="44"/>
        </w:rPr>
        <w:t>March</w:t>
      </w:r>
      <w:r w:rsidR="00A14928" w:rsidRPr="00821E48">
        <w:rPr>
          <w:rFonts w:eastAsia="Times New Roman" w:cs="Times New Roman"/>
          <w:bCs/>
          <w:color w:val="1B3D6D"/>
          <w:sz w:val="44"/>
          <w:szCs w:val="44"/>
        </w:rPr>
        <w:t xml:space="preserve"> </w:t>
      </w:r>
      <w:r w:rsidR="00C16ED9" w:rsidRPr="00821E48">
        <w:rPr>
          <w:rFonts w:eastAsia="Times New Roman" w:cs="Times New Roman"/>
          <w:bCs/>
          <w:color w:val="1B3D6D"/>
          <w:sz w:val="44"/>
          <w:szCs w:val="44"/>
        </w:rPr>
        <w:t>202</w:t>
      </w:r>
      <w:r w:rsidR="00B874FC" w:rsidRPr="00821E48">
        <w:rPr>
          <w:rFonts w:eastAsia="Times New Roman" w:cs="Times New Roman"/>
          <w:bCs/>
          <w:color w:val="1B3D6D"/>
          <w:sz w:val="44"/>
          <w:szCs w:val="44"/>
        </w:rPr>
        <w:t>5</w:t>
      </w:r>
    </w:p>
    <w:p w14:paraId="0D9488DC" w14:textId="77777777" w:rsidR="00821E48" w:rsidRDefault="00821E48" w:rsidP="00821E48">
      <w:pPr>
        <w:rPr>
          <w:rFonts w:eastAsia="Times New Roman" w:cs="Times New Roman"/>
          <w:bCs/>
          <w:color w:val="1B3D6D"/>
          <w:sz w:val="48"/>
          <w:szCs w:val="48"/>
        </w:rPr>
      </w:pPr>
    </w:p>
    <w:p w14:paraId="498A329F" w14:textId="41A6EC33" w:rsidR="00821E48" w:rsidRPr="00821E48" w:rsidRDefault="00821E48" w:rsidP="00320375">
      <w:pPr>
        <w:numPr>
          <w:ilvl w:val="1"/>
          <w:numId w:val="0"/>
        </w:numPr>
        <w:spacing w:after="0" w:line="240" w:lineRule="auto"/>
        <w:rPr>
          <w:rFonts w:eastAsia="Times New Roman" w:cs="Times New Roman"/>
          <w:bCs/>
          <w:color w:val="1B3D6D"/>
          <w:sz w:val="60"/>
          <w:szCs w:val="60"/>
        </w:rPr>
        <w:sectPr w:rsidR="00821E48" w:rsidRPr="00821E48" w:rsidSect="00821E48">
          <w:pgSz w:w="11906" w:h="16838" w:code="9"/>
          <w:pgMar w:top="1440" w:right="1080" w:bottom="1440" w:left="1080" w:header="720" w:footer="720" w:gutter="0"/>
          <w:cols w:space="708"/>
          <w:docGrid w:linePitch="360"/>
        </w:sectPr>
      </w:pPr>
    </w:p>
    <w:sdt>
      <w:sdtPr>
        <w:rPr>
          <w:rFonts w:ascii="Arial" w:eastAsia="Arial" w:hAnsi="Arial" w:cs="Arial"/>
          <w:b w:val="0"/>
          <w:bCs w:val="0"/>
          <w:color w:val="000000"/>
          <w:sz w:val="22"/>
          <w:szCs w:val="24"/>
          <w:lang w:val="en-GB" w:eastAsia="en-US"/>
        </w:rPr>
        <w:id w:val="1869717471"/>
        <w:docPartObj>
          <w:docPartGallery w:val="Table of Contents"/>
          <w:docPartUnique/>
        </w:docPartObj>
      </w:sdtPr>
      <w:sdtEndPr>
        <w:rPr>
          <w:noProof/>
        </w:rPr>
      </w:sdtEndPr>
      <w:sdtContent>
        <w:p w14:paraId="55C4DC18" w14:textId="77777777" w:rsidR="008309B9" w:rsidRDefault="008309B9">
          <w:pPr>
            <w:pStyle w:val="TOCHeading"/>
          </w:pPr>
          <w:r>
            <w:t>Contents</w:t>
          </w:r>
        </w:p>
        <w:p w14:paraId="228A7A93" w14:textId="4F3E8A3F" w:rsidR="009D229B" w:rsidRDefault="008309B9">
          <w:pPr>
            <w:pStyle w:val="TOC1"/>
            <w:tabs>
              <w:tab w:val="right" w:leader="dot" w:pos="9323"/>
            </w:tabs>
            <w:rPr>
              <w:rFonts w:eastAsiaTheme="minorEastAsia" w:cstheme="minorBidi"/>
              <w:bCs w:val="0"/>
              <w:noProof/>
              <w:color w:val="auto"/>
              <w:kern w:val="2"/>
              <w:sz w:val="24"/>
              <w:szCs w:val="24"/>
              <w:lang w:eastAsia="en-GB"/>
              <w14:ligatures w14:val="standardContextual"/>
            </w:rPr>
          </w:pPr>
          <w:r>
            <w:rPr>
              <w:bCs w:val="0"/>
              <w:sz w:val="20"/>
            </w:rPr>
            <w:fldChar w:fldCharType="begin"/>
          </w:r>
          <w:r>
            <w:rPr>
              <w:bCs w:val="0"/>
              <w:sz w:val="20"/>
            </w:rPr>
            <w:instrText xml:space="preserve"> TOC \o "1-1" \h \z \u </w:instrText>
          </w:r>
          <w:r>
            <w:rPr>
              <w:bCs w:val="0"/>
              <w:sz w:val="20"/>
            </w:rPr>
            <w:fldChar w:fldCharType="separate"/>
          </w:r>
          <w:hyperlink w:anchor="_Toc190964783" w:history="1">
            <w:r w:rsidR="009D229B" w:rsidRPr="008E16B6">
              <w:rPr>
                <w:rStyle w:val="Hyperlink"/>
                <w:noProof/>
              </w:rPr>
              <w:t>Introduction</w:t>
            </w:r>
            <w:r w:rsidR="009D229B">
              <w:rPr>
                <w:noProof/>
                <w:webHidden/>
              </w:rPr>
              <w:tab/>
            </w:r>
            <w:r w:rsidR="009D229B">
              <w:rPr>
                <w:noProof/>
                <w:webHidden/>
              </w:rPr>
              <w:fldChar w:fldCharType="begin"/>
            </w:r>
            <w:r w:rsidR="009D229B">
              <w:rPr>
                <w:noProof/>
                <w:webHidden/>
              </w:rPr>
              <w:instrText xml:space="preserve"> PAGEREF _Toc190964783 \h </w:instrText>
            </w:r>
            <w:r w:rsidR="009D229B">
              <w:rPr>
                <w:noProof/>
                <w:webHidden/>
              </w:rPr>
            </w:r>
            <w:r w:rsidR="009D229B">
              <w:rPr>
                <w:noProof/>
                <w:webHidden/>
              </w:rPr>
              <w:fldChar w:fldCharType="separate"/>
            </w:r>
            <w:r w:rsidR="009D229B">
              <w:rPr>
                <w:noProof/>
                <w:webHidden/>
              </w:rPr>
              <w:t>2</w:t>
            </w:r>
            <w:r w:rsidR="009D229B">
              <w:rPr>
                <w:noProof/>
                <w:webHidden/>
              </w:rPr>
              <w:fldChar w:fldCharType="end"/>
            </w:r>
          </w:hyperlink>
        </w:p>
        <w:p w14:paraId="358D1220" w14:textId="31A46347" w:rsidR="009D229B" w:rsidRDefault="009D229B">
          <w:pPr>
            <w:pStyle w:val="TOC1"/>
            <w:tabs>
              <w:tab w:val="right" w:leader="dot" w:pos="9323"/>
            </w:tabs>
            <w:rPr>
              <w:rFonts w:eastAsiaTheme="minorEastAsia" w:cstheme="minorBidi"/>
              <w:bCs w:val="0"/>
              <w:noProof/>
              <w:color w:val="auto"/>
              <w:kern w:val="2"/>
              <w:sz w:val="24"/>
              <w:szCs w:val="24"/>
              <w:lang w:eastAsia="en-GB"/>
              <w14:ligatures w14:val="standardContextual"/>
            </w:rPr>
          </w:pPr>
          <w:hyperlink w:anchor="_Toc190964784" w:history="1">
            <w:r w:rsidRPr="008E16B6">
              <w:rPr>
                <w:rStyle w:val="Hyperlink"/>
                <w:noProof/>
              </w:rPr>
              <w:t>Service being procured: Accountant services</w:t>
            </w:r>
            <w:r>
              <w:rPr>
                <w:noProof/>
                <w:webHidden/>
              </w:rPr>
              <w:tab/>
            </w:r>
            <w:r>
              <w:rPr>
                <w:noProof/>
                <w:webHidden/>
              </w:rPr>
              <w:fldChar w:fldCharType="begin"/>
            </w:r>
            <w:r>
              <w:rPr>
                <w:noProof/>
                <w:webHidden/>
              </w:rPr>
              <w:instrText xml:space="preserve"> PAGEREF _Toc190964784 \h </w:instrText>
            </w:r>
            <w:r>
              <w:rPr>
                <w:noProof/>
                <w:webHidden/>
              </w:rPr>
            </w:r>
            <w:r>
              <w:rPr>
                <w:noProof/>
                <w:webHidden/>
              </w:rPr>
              <w:fldChar w:fldCharType="separate"/>
            </w:r>
            <w:r>
              <w:rPr>
                <w:noProof/>
                <w:webHidden/>
              </w:rPr>
              <w:t>2</w:t>
            </w:r>
            <w:r>
              <w:rPr>
                <w:noProof/>
                <w:webHidden/>
              </w:rPr>
              <w:fldChar w:fldCharType="end"/>
            </w:r>
          </w:hyperlink>
        </w:p>
        <w:p w14:paraId="7FFD1C5B" w14:textId="04A694D3" w:rsidR="009D229B" w:rsidRDefault="009D229B">
          <w:pPr>
            <w:pStyle w:val="TOC1"/>
            <w:tabs>
              <w:tab w:val="right" w:leader="dot" w:pos="9323"/>
            </w:tabs>
            <w:rPr>
              <w:rFonts w:eastAsiaTheme="minorEastAsia" w:cstheme="minorBidi"/>
              <w:bCs w:val="0"/>
              <w:noProof/>
              <w:color w:val="auto"/>
              <w:kern w:val="2"/>
              <w:sz w:val="24"/>
              <w:szCs w:val="24"/>
              <w:lang w:eastAsia="en-GB"/>
              <w14:ligatures w14:val="standardContextual"/>
            </w:rPr>
          </w:pPr>
          <w:hyperlink w:anchor="_Toc190964785" w:history="1">
            <w:r w:rsidRPr="008E16B6">
              <w:rPr>
                <w:rStyle w:val="Hyperlink"/>
                <w:noProof/>
              </w:rPr>
              <w:t>Tender submission requirements</w:t>
            </w:r>
            <w:r>
              <w:rPr>
                <w:noProof/>
                <w:webHidden/>
              </w:rPr>
              <w:tab/>
            </w:r>
            <w:r>
              <w:rPr>
                <w:noProof/>
                <w:webHidden/>
              </w:rPr>
              <w:fldChar w:fldCharType="begin"/>
            </w:r>
            <w:r>
              <w:rPr>
                <w:noProof/>
                <w:webHidden/>
              </w:rPr>
              <w:instrText xml:space="preserve"> PAGEREF _Toc190964785 \h </w:instrText>
            </w:r>
            <w:r>
              <w:rPr>
                <w:noProof/>
                <w:webHidden/>
              </w:rPr>
            </w:r>
            <w:r>
              <w:rPr>
                <w:noProof/>
                <w:webHidden/>
              </w:rPr>
              <w:fldChar w:fldCharType="separate"/>
            </w:r>
            <w:r>
              <w:rPr>
                <w:noProof/>
                <w:webHidden/>
              </w:rPr>
              <w:t>4</w:t>
            </w:r>
            <w:r>
              <w:rPr>
                <w:noProof/>
                <w:webHidden/>
              </w:rPr>
              <w:fldChar w:fldCharType="end"/>
            </w:r>
          </w:hyperlink>
        </w:p>
        <w:p w14:paraId="2C35BAE2" w14:textId="2424727E" w:rsidR="009D229B" w:rsidRDefault="009D229B">
          <w:pPr>
            <w:pStyle w:val="TOC1"/>
            <w:tabs>
              <w:tab w:val="right" w:leader="dot" w:pos="9323"/>
            </w:tabs>
            <w:rPr>
              <w:rFonts w:eastAsiaTheme="minorEastAsia" w:cstheme="minorBidi"/>
              <w:bCs w:val="0"/>
              <w:noProof/>
              <w:color w:val="auto"/>
              <w:kern w:val="2"/>
              <w:sz w:val="24"/>
              <w:szCs w:val="24"/>
              <w:lang w:eastAsia="en-GB"/>
              <w14:ligatures w14:val="standardContextual"/>
            </w:rPr>
          </w:pPr>
          <w:hyperlink w:anchor="_Toc190964786" w:history="1">
            <w:r w:rsidRPr="008E16B6">
              <w:rPr>
                <w:rStyle w:val="Hyperlink"/>
                <w:noProof/>
              </w:rPr>
              <w:t>Timetable</w:t>
            </w:r>
            <w:r>
              <w:rPr>
                <w:noProof/>
                <w:webHidden/>
              </w:rPr>
              <w:tab/>
            </w:r>
            <w:r>
              <w:rPr>
                <w:noProof/>
                <w:webHidden/>
              </w:rPr>
              <w:fldChar w:fldCharType="begin"/>
            </w:r>
            <w:r>
              <w:rPr>
                <w:noProof/>
                <w:webHidden/>
              </w:rPr>
              <w:instrText xml:space="preserve"> PAGEREF _Toc190964786 \h </w:instrText>
            </w:r>
            <w:r>
              <w:rPr>
                <w:noProof/>
                <w:webHidden/>
              </w:rPr>
            </w:r>
            <w:r>
              <w:rPr>
                <w:noProof/>
                <w:webHidden/>
              </w:rPr>
              <w:fldChar w:fldCharType="separate"/>
            </w:r>
            <w:r>
              <w:rPr>
                <w:noProof/>
                <w:webHidden/>
              </w:rPr>
              <w:t>5</w:t>
            </w:r>
            <w:r>
              <w:rPr>
                <w:noProof/>
                <w:webHidden/>
              </w:rPr>
              <w:fldChar w:fldCharType="end"/>
            </w:r>
          </w:hyperlink>
        </w:p>
        <w:p w14:paraId="244F3244" w14:textId="7F9AE499" w:rsidR="009D229B" w:rsidRDefault="009D229B">
          <w:pPr>
            <w:pStyle w:val="TOC1"/>
            <w:tabs>
              <w:tab w:val="right" w:leader="dot" w:pos="9323"/>
            </w:tabs>
            <w:rPr>
              <w:rFonts w:eastAsiaTheme="minorEastAsia" w:cstheme="minorBidi"/>
              <w:bCs w:val="0"/>
              <w:noProof/>
              <w:color w:val="auto"/>
              <w:kern w:val="2"/>
              <w:sz w:val="24"/>
              <w:szCs w:val="24"/>
              <w:lang w:eastAsia="en-GB"/>
              <w14:ligatures w14:val="standardContextual"/>
            </w:rPr>
          </w:pPr>
          <w:hyperlink w:anchor="_Toc190964787" w:history="1">
            <w:r w:rsidRPr="008E16B6">
              <w:rPr>
                <w:rStyle w:val="Hyperlink"/>
                <w:noProof/>
              </w:rPr>
              <w:t>Submitting a tender</w:t>
            </w:r>
            <w:r>
              <w:rPr>
                <w:noProof/>
                <w:webHidden/>
              </w:rPr>
              <w:tab/>
            </w:r>
            <w:r>
              <w:rPr>
                <w:noProof/>
                <w:webHidden/>
              </w:rPr>
              <w:fldChar w:fldCharType="begin"/>
            </w:r>
            <w:r>
              <w:rPr>
                <w:noProof/>
                <w:webHidden/>
              </w:rPr>
              <w:instrText xml:space="preserve"> PAGEREF _Toc190964787 \h </w:instrText>
            </w:r>
            <w:r>
              <w:rPr>
                <w:noProof/>
                <w:webHidden/>
              </w:rPr>
            </w:r>
            <w:r>
              <w:rPr>
                <w:noProof/>
                <w:webHidden/>
              </w:rPr>
              <w:fldChar w:fldCharType="separate"/>
            </w:r>
            <w:r>
              <w:rPr>
                <w:noProof/>
                <w:webHidden/>
              </w:rPr>
              <w:t>5</w:t>
            </w:r>
            <w:r>
              <w:rPr>
                <w:noProof/>
                <w:webHidden/>
              </w:rPr>
              <w:fldChar w:fldCharType="end"/>
            </w:r>
          </w:hyperlink>
        </w:p>
        <w:p w14:paraId="0D481D18" w14:textId="05071DD5" w:rsidR="009D229B" w:rsidRDefault="009D229B">
          <w:pPr>
            <w:pStyle w:val="TOC1"/>
            <w:tabs>
              <w:tab w:val="right" w:leader="dot" w:pos="9323"/>
            </w:tabs>
            <w:rPr>
              <w:rFonts w:eastAsiaTheme="minorEastAsia" w:cstheme="minorBidi"/>
              <w:bCs w:val="0"/>
              <w:noProof/>
              <w:color w:val="auto"/>
              <w:kern w:val="2"/>
              <w:sz w:val="24"/>
              <w:szCs w:val="24"/>
              <w:lang w:eastAsia="en-GB"/>
              <w14:ligatures w14:val="standardContextual"/>
            </w:rPr>
          </w:pPr>
          <w:hyperlink w:anchor="_Toc190964788" w:history="1">
            <w:r w:rsidRPr="008E16B6">
              <w:rPr>
                <w:rStyle w:val="Hyperlink"/>
                <w:noProof/>
              </w:rPr>
              <w:t>Assessment of tenders</w:t>
            </w:r>
            <w:r>
              <w:rPr>
                <w:noProof/>
                <w:webHidden/>
              </w:rPr>
              <w:tab/>
            </w:r>
            <w:r>
              <w:rPr>
                <w:noProof/>
                <w:webHidden/>
              </w:rPr>
              <w:fldChar w:fldCharType="begin"/>
            </w:r>
            <w:r>
              <w:rPr>
                <w:noProof/>
                <w:webHidden/>
              </w:rPr>
              <w:instrText xml:space="preserve"> PAGEREF _Toc190964788 \h </w:instrText>
            </w:r>
            <w:r>
              <w:rPr>
                <w:noProof/>
                <w:webHidden/>
              </w:rPr>
            </w:r>
            <w:r>
              <w:rPr>
                <w:noProof/>
                <w:webHidden/>
              </w:rPr>
              <w:fldChar w:fldCharType="separate"/>
            </w:r>
            <w:r>
              <w:rPr>
                <w:noProof/>
                <w:webHidden/>
              </w:rPr>
              <w:t>6</w:t>
            </w:r>
            <w:r>
              <w:rPr>
                <w:noProof/>
                <w:webHidden/>
              </w:rPr>
              <w:fldChar w:fldCharType="end"/>
            </w:r>
          </w:hyperlink>
        </w:p>
        <w:p w14:paraId="2290D2A6" w14:textId="68257D9B" w:rsidR="009D229B" w:rsidRDefault="009D229B">
          <w:pPr>
            <w:pStyle w:val="TOC1"/>
            <w:tabs>
              <w:tab w:val="right" w:leader="dot" w:pos="9323"/>
            </w:tabs>
            <w:rPr>
              <w:rFonts w:eastAsiaTheme="minorEastAsia" w:cstheme="minorBidi"/>
              <w:bCs w:val="0"/>
              <w:noProof/>
              <w:color w:val="auto"/>
              <w:kern w:val="2"/>
              <w:sz w:val="24"/>
              <w:szCs w:val="24"/>
              <w:lang w:eastAsia="en-GB"/>
              <w14:ligatures w14:val="standardContextual"/>
            </w:rPr>
          </w:pPr>
          <w:hyperlink w:anchor="_Toc190964789" w:history="1">
            <w:r w:rsidRPr="008E16B6">
              <w:rPr>
                <w:rStyle w:val="Hyperlink"/>
                <w:noProof/>
              </w:rPr>
              <w:t>Contract Terms and Conditions</w:t>
            </w:r>
            <w:r>
              <w:rPr>
                <w:noProof/>
                <w:webHidden/>
              </w:rPr>
              <w:tab/>
            </w:r>
            <w:r>
              <w:rPr>
                <w:noProof/>
                <w:webHidden/>
              </w:rPr>
              <w:fldChar w:fldCharType="begin"/>
            </w:r>
            <w:r>
              <w:rPr>
                <w:noProof/>
                <w:webHidden/>
              </w:rPr>
              <w:instrText xml:space="preserve"> PAGEREF _Toc190964789 \h </w:instrText>
            </w:r>
            <w:r>
              <w:rPr>
                <w:noProof/>
                <w:webHidden/>
              </w:rPr>
            </w:r>
            <w:r>
              <w:rPr>
                <w:noProof/>
                <w:webHidden/>
              </w:rPr>
              <w:fldChar w:fldCharType="separate"/>
            </w:r>
            <w:r>
              <w:rPr>
                <w:noProof/>
                <w:webHidden/>
              </w:rPr>
              <w:t>7</w:t>
            </w:r>
            <w:r>
              <w:rPr>
                <w:noProof/>
                <w:webHidden/>
              </w:rPr>
              <w:fldChar w:fldCharType="end"/>
            </w:r>
          </w:hyperlink>
        </w:p>
        <w:p w14:paraId="28EDF53C" w14:textId="45FB5B58" w:rsidR="009D229B" w:rsidRDefault="009D229B">
          <w:pPr>
            <w:pStyle w:val="TOC1"/>
            <w:tabs>
              <w:tab w:val="right" w:leader="dot" w:pos="9323"/>
            </w:tabs>
            <w:rPr>
              <w:rFonts w:eastAsiaTheme="minorEastAsia" w:cstheme="minorBidi"/>
              <w:bCs w:val="0"/>
              <w:noProof/>
              <w:color w:val="auto"/>
              <w:kern w:val="2"/>
              <w:sz w:val="24"/>
              <w:szCs w:val="24"/>
              <w:lang w:eastAsia="en-GB"/>
              <w14:ligatures w14:val="standardContextual"/>
            </w:rPr>
          </w:pPr>
          <w:hyperlink w:anchor="_Toc190964790" w:history="1">
            <w:r w:rsidRPr="008E16B6">
              <w:rPr>
                <w:rStyle w:val="Hyperlink"/>
                <w:noProof/>
              </w:rPr>
              <w:t>Administration of tender</w:t>
            </w:r>
            <w:r>
              <w:rPr>
                <w:noProof/>
                <w:webHidden/>
              </w:rPr>
              <w:tab/>
            </w:r>
            <w:r>
              <w:rPr>
                <w:noProof/>
                <w:webHidden/>
              </w:rPr>
              <w:fldChar w:fldCharType="begin"/>
            </w:r>
            <w:r>
              <w:rPr>
                <w:noProof/>
                <w:webHidden/>
              </w:rPr>
              <w:instrText xml:space="preserve"> PAGEREF _Toc190964790 \h </w:instrText>
            </w:r>
            <w:r>
              <w:rPr>
                <w:noProof/>
                <w:webHidden/>
              </w:rPr>
            </w:r>
            <w:r>
              <w:rPr>
                <w:noProof/>
                <w:webHidden/>
              </w:rPr>
              <w:fldChar w:fldCharType="separate"/>
            </w:r>
            <w:r>
              <w:rPr>
                <w:noProof/>
                <w:webHidden/>
              </w:rPr>
              <w:t>8</w:t>
            </w:r>
            <w:r>
              <w:rPr>
                <w:noProof/>
                <w:webHidden/>
              </w:rPr>
              <w:fldChar w:fldCharType="end"/>
            </w:r>
          </w:hyperlink>
        </w:p>
        <w:p w14:paraId="5A6435EE" w14:textId="4BE5CAD9" w:rsidR="008309B9" w:rsidRDefault="008309B9">
          <w:r>
            <w:rPr>
              <w:rFonts w:asciiTheme="minorHAnsi" w:hAnsiTheme="minorHAnsi" w:cstheme="minorHAnsi"/>
              <w:bCs/>
              <w:sz w:val="20"/>
              <w:szCs w:val="20"/>
            </w:rPr>
            <w:fldChar w:fldCharType="end"/>
          </w:r>
        </w:p>
      </w:sdtContent>
    </w:sdt>
    <w:p w14:paraId="5175CA2B" w14:textId="77777777" w:rsidR="008309B9" w:rsidRDefault="008309B9" w:rsidP="008309B9">
      <w:r>
        <w:br w:type="page"/>
      </w:r>
    </w:p>
    <w:p w14:paraId="2ED9C43D" w14:textId="77777777" w:rsidR="00A14928" w:rsidRDefault="00A14928" w:rsidP="00A14928">
      <w:pPr>
        <w:pStyle w:val="Heading1"/>
      </w:pPr>
      <w:bookmarkStart w:id="0" w:name="_Toc190964783"/>
      <w:r>
        <w:t>Introduction</w:t>
      </w:r>
      <w:bookmarkEnd w:id="0"/>
    </w:p>
    <w:p w14:paraId="734A3239" w14:textId="7A633657" w:rsidR="00A14928" w:rsidRDefault="00CC19C7" w:rsidP="00A14928">
      <w:pPr>
        <w:pStyle w:val="Heading2"/>
      </w:pPr>
      <w:r>
        <w:t>SPSO</w:t>
      </w:r>
    </w:p>
    <w:p w14:paraId="5A98C864" w14:textId="77777777" w:rsidR="00CC19C7" w:rsidRPr="002C6C2C" w:rsidRDefault="00CC19C7" w:rsidP="00CC19C7">
      <w:pPr>
        <w:rPr>
          <w:szCs w:val="22"/>
        </w:rPr>
      </w:pPr>
      <w:r w:rsidRPr="002C6C2C">
        <w:rPr>
          <w:szCs w:val="22"/>
        </w:rPr>
        <w:t>The Scottish Public Services Ombudsman (SPSO) has a wide remit, covering a variety of functions and services.</w:t>
      </w:r>
    </w:p>
    <w:p w14:paraId="324C8703" w14:textId="77777777" w:rsidR="00CC19C7" w:rsidRPr="002C6C2C" w:rsidRDefault="00CC19C7" w:rsidP="00CC19C7">
      <w:pPr>
        <w:rPr>
          <w:szCs w:val="22"/>
        </w:rPr>
      </w:pPr>
      <w:r w:rsidRPr="002C6C2C">
        <w:rPr>
          <w:szCs w:val="22"/>
        </w:rPr>
        <w:t>Her powers and duties come mainly from the Scottish Public Services Ombudsman Act 2002 (as amended) which gives her four distinct statutory functions:</w:t>
      </w:r>
    </w:p>
    <w:p w14:paraId="3CE43A08" w14:textId="77777777" w:rsidR="00CC19C7" w:rsidRPr="002C6C2C" w:rsidRDefault="00CC19C7" w:rsidP="00B33B37">
      <w:pPr>
        <w:pStyle w:val="ListParagraph"/>
        <w:numPr>
          <w:ilvl w:val="0"/>
          <w:numId w:val="5"/>
        </w:numPr>
        <w:rPr>
          <w:szCs w:val="22"/>
        </w:rPr>
      </w:pPr>
      <w:r w:rsidRPr="002C6C2C">
        <w:rPr>
          <w:szCs w:val="22"/>
        </w:rPr>
        <w:t xml:space="preserve">the final stage for complaints about most devolved public services in Scotland including councils, the health service, prisons, water and sewerage providers, Scottish Government, universities and colleges </w:t>
      </w:r>
    </w:p>
    <w:p w14:paraId="1A932ABD" w14:textId="77777777" w:rsidR="00CC19C7" w:rsidRPr="002C6C2C" w:rsidRDefault="00CC19C7" w:rsidP="00B33B37">
      <w:pPr>
        <w:pStyle w:val="ListParagraph"/>
        <w:numPr>
          <w:ilvl w:val="0"/>
          <w:numId w:val="5"/>
        </w:numPr>
        <w:rPr>
          <w:szCs w:val="22"/>
        </w:rPr>
      </w:pPr>
      <w:r w:rsidRPr="002C6C2C">
        <w:rPr>
          <w:szCs w:val="22"/>
        </w:rPr>
        <w:t>specific powers and responsibilities to publish complaints handling procedures, and monitor support best practice in complaints handling</w:t>
      </w:r>
      <w:r>
        <w:rPr>
          <w:szCs w:val="22"/>
        </w:rPr>
        <w:t xml:space="preserve"> (for both) public service complaints and NHS whistleblowing concerns)</w:t>
      </w:r>
    </w:p>
    <w:p w14:paraId="1ADB425E" w14:textId="77777777" w:rsidR="00CC19C7" w:rsidRPr="002C6C2C" w:rsidRDefault="00CC19C7" w:rsidP="00B33B37">
      <w:pPr>
        <w:pStyle w:val="ListParagraph"/>
        <w:numPr>
          <w:ilvl w:val="0"/>
          <w:numId w:val="5"/>
        </w:numPr>
        <w:rPr>
          <w:szCs w:val="22"/>
        </w:rPr>
      </w:pPr>
      <w:r w:rsidRPr="002C6C2C">
        <w:rPr>
          <w:szCs w:val="22"/>
        </w:rPr>
        <w:t xml:space="preserve">Independent Review Service for the Scottish Welfare Fund with the power to overturn and substitute decisions made by councils on Community Care and Crisis Grant applications; </w:t>
      </w:r>
    </w:p>
    <w:p w14:paraId="688DE258" w14:textId="77777777" w:rsidR="00CC19C7" w:rsidRPr="002C6C2C" w:rsidRDefault="00CC19C7" w:rsidP="00B33B37">
      <w:pPr>
        <w:pStyle w:val="ListParagraph"/>
        <w:numPr>
          <w:ilvl w:val="0"/>
          <w:numId w:val="5"/>
        </w:numPr>
        <w:rPr>
          <w:szCs w:val="22"/>
        </w:rPr>
      </w:pPr>
      <w:r w:rsidRPr="002C6C2C">
        <w:rPr>
          <w:szCs w:val="22"/>
        </w:rPr>
        <w:t xml:space="preserve">Independent National Whistleblowing Officer for the NHS in Scotland with the power to set standards for whistleblowing and the final stage for complaints about how whistleblowing complaints have been handled </w:t>
      </w:r>
    </w:p>
    <w:p w14:paraId="26312DC6" w14:textId="77777777" w:rsidR="00CC19C7" w:rsidRPr="00D27380" w:rsidRDefault="00CC19C7" w:rsidP="00CC19C7">
      <w:pPr>
        <w:rPr>
          <w:rStyle w:val="Hyperlink"/>
          <w:szCs w:val="22"/>
        </w:rPr>
      </w:pPr>
      <w:r w:rsidRPr="002C6C2C">
        <w:rPr>
          <w:szCs w:val="22"/>
        </w:rPr>
        <w:t xml:space="preserve">Details of the Ombudsman’s team are </w:t>
      </w:r>
      <w:r w:rsidRPr="00D27380">
        <w:rPr>
          <w:szCs w:val="22"/>
        </w:rPr>
        <w:t>available at</w:t>
      </w:r>
      <w:r>
        <w:rPr>
          <w:szCs w:val="22"/>
        </w:rPr>
        <w:t>:</w:t>
      </w:r>
      <w:r w:rsidRPr="00D27380" w:rsidDel="00B82B41">
        <w:rPr>
          <w:szCs w:val="22"/>
        </w:rPr>
        <w:t xml:space="preserve"> </w:t>
      </w:r>
      <w:r w:rsidRPr="00D27380">
        <w:rPr>
          <w:szCs w:val="22"/>
        </w:rPr>
        <w:t xml:space="preserve"> </w:t>
      </w:r>
      <w:hyperlink r:id="rId10" w:history="1">
        <w:r w:rsidRPr="00D27380">
          <w:rPr>
            <w:rStyle w:val="Hyperlink"/>
            <w:szCs w:val="22"/>
          </w:rPr>
          <w:t>https://www.spso.org.uk/about-us</w:t>
        </w:r>
      </w:hyperlink>
    </w:p>
    <w:p w14:paraId="47B5DCAC" w14:textId="77777777" w:rsidR="00CC19C7" w:rsidRPr="002C6C2C" w:rsidRDefault="00CC19C7" w:rsidP="00CC19C7">
      <w:pPr>
        <w:rPr>
          <w:rStyle w:val="Hyperlink"/>
          <w:szCs w:val="22"/>
        </w:rPr>
      </w:pPr>
      <w:r w:rsidRPr="002C6C2C">
        <w:rPr>
          <w:szCs w:val="22"/>
        </w:rPr>
        <w:t>The Ombudsman’s most recent Annual Report is available at:</w:t>
      </w:r>
      <w:r>
        <w:rPr>
          <w:szCs w:val="22"/>
        </w:rPr>
        <w:t xml:space="preserve"> </w:t>
      </w:r>
      <w:r w:rsidRPr="002C6C2C">
        <w:rPr>
          <w:szCs w:val="22"/>
        </w:rPr>
        <w:t xml:space="preserve"> </w:t>
      </w:r>
      <w:hyperlink r:id="rId11" w:history="1">
        <w:r w:rsidRPr="002C6C2C">
          <w:rPr>
            <w:rStyle w:val="Hyperlink"/>
            <w:szCs w:val="22"/>
          </w:rPr>
          <w:t>http://www.spso.org.uk/annual-reports</w:t>
        </w:r>
      </w:hyperlink>
      <w:r w:rsidRPr="002C6C2C">
        <w:rPr>
          <w:rStyle w:val="Hyperlink"/>
          <w:szCs w:val="22"/>
        </w:rPr>
        <w:t xml:space="preserve"> </w:t>
      </w:r>
    </w:p>
    <w:p w14:paraId="26DF80DC" w14:textId="77777777" w:rsidR="00CC19C7" w:rsidRPr="00D41FB0" w:rsidRDefault="00CC19C7" w:rsidP="00CC19C7">
      <w:pPr>
        <w:rPr>
          <w:rStyle w:val="Hyperlink"/>
          <w:color w:val="auto"/>
          <w:szCs w:val="22"/>
        </w:rPr>
      </w:pPr>
      <w:r w:rsidRPr="00D87A5C">
        <w:rPr>
          <w:iCs/>
        </w:rPr>
        <w:t>Her strategic plan for 2024—2028 and information about our values can be found here:</w:t>
      </w:r>
      <w:r>
        <w:rPr>
          <w:rStyle w:val="Hyperlink"/>
          <w:color w:val="auto"/>
          <w:szCs w:val="22"/>
        </w:rPr>
        <w:t xml:space="preserve"> </w:t>
      </w:r>
      <w:r w:rsidRPr="00D41FB0">
        <w:rPr>
          <w:rStyle w:val="Hyperlink"/>
          <w:color w:val="auto"/>
          <w:szCs w:val="22"/>
        </w:rPr>
        <w:t xml:space="preserve"> </w:t>
      </w:r>
      <w:hyperlink r:id="rId12" w:history="1">
        <w:r w:rsidRPr="00D41FB0">
          <w:rPr>
            <w:rStyle w:val="Hyperlink"/>
            <w:szCs w:val="22"/>
          </w:rPr>
          <w:t>SPSO2024-28Strategic-Plan.pdf</w:t>
        </w:r>
      </w:hyperlink>
    </w:p>
    <w:p w14:paraId="38B14FAD" w14:textId="65F35490" w:rsidR="004D67DE" w:rsidRDefault="004D67DE" w:rsidP="008309B9"/>
    <w:p w14:paraId="2415447B" w14:textId="0E8710D1" w:rsidR="00A14928" w:rsidRPr="00C16ED9" w:rsidRDefault="00A14928" w:rsidP="00A14928">
      <w:pPr>
        <w:pStyle w:val="Heading1"/>
        <w:rPr>
          <w:color w:val="auto"/>
        </w:rPr>
      </w:pPr>
      <w:bookmarkStart w:id="1" w:name="_Toc190964784"/>
      <w:r w:rsidRPr="00610E29">
        <w:rPr>
          <w:color w:val="auto"/>
        </w:rPr>
        <w:t xml:space="preserve">Service being procured: </w:t>
      </w:r>
      <w:r w:rsidR="00D87A5C" w:rsidRPr="00610E29">
        <w:rPr>
          <w:color w:val="auto"/>
        </w:rPr>
        <w:t>Accountant</w:t>
      </w:r>
      <w:r w:rsidR="007A169E" w:rsidRPr="00610E29">
        <w:rPr>
          <w:color w:val="auto"/>
        </w:rPr>
        <w:t xml:space="preserve"> services</w:t>
      </w:r>
      <w:bookmarkEnd w:id="1"/>
    </w:p>
    <w:p w14:paraId="5EF0F447" w14:textId="77777777" w:rsidR="00A14928" w:rsidRDefault="003D62BC" w:rsidP="00A14928">
      <w:pPr>
        <w:pStyle w:val="Heading2"/>
      </w:pPr>
      <w:r>
        <w:t>Specification</w:t>
      </w:r>
    </w:p>
    <w:p w14:paraId="139B7B52" w14:textId="49047374" w:rsidR="00325A46" w:rsidRDefault="00325A46" w:rsidP="00B33B37">
      <w:pPr>
        <w:numPr>
          <w:ilvl w:val="0"/>
          <w:numId w:val="4"/>
        </w:numPr>
      </w:pPr>
      <w:r w:rsidRPr="00325A46">
        <w:t>The Ombudsman is inviting tenders for the provision of</w:t>
      </w:r>
      <w:r w:rsidR="00D87A5C">
        <w:t xml:space="preserve"> accountant</w:t>
      </w:r>
      <w:r w:rsidRPr="00325A46">
        <w:t xml:space="preserve"> services (referred to as the Provider throughout).</w:t>
      </w:r>
    </w:p>
    <w:p w14:paraId="31AE84D9" w14:textId="77777777" w:rsidR="00610E29" w:rsidRPr="00610E29" w:rsidRDefault="00610E29" w:rsidP="00610E29">
      <w:pPr>
        <w:pStyle w:val="ListParagraph"/>
        <w:numPr>
          <w:ilvl w:val="0"/>
          <w:numId w:val="4"/>
        </w:numPr>
      </w:pPr>
      <w:r w:rsidRPr="00610E29">
        <w:t>The finance team within the Scottish Public Services Ombudsman (SPSO) provide financial processing services through a shared service agreement for other SPCB-funded office-holders.  Additionally, the team provide financial processing for Bridgeside House facilities, on behalf of all Officeholders located in Bridgeside House.</w:t>
      </w:r>
    </w:p>
    <w:p w14:paraId="7134A710" w14:textId="7AA507A6" w:rsidR="00690B28" w:rsidRPr="00002042" w:rsidRDefault="00BF4BA3" w:rsidP="00690B28">
      <w:pPr>
        <w:numPr>
          <w:ilvl w:val="0"/>
          <w:numId w:val="4"/>
        </w:numPr>
        <w:rPr>
          <w:bCs/>
        </w:rPr>
      </w:pPr>
      <w:r>
        <w:rPr>
          <w:bCs/>
        </w:rPr>
        <w:t>F</w:t>
      </w:r>
      <w:r w:rsidR="009D229B" w:rsidRPr="00002042">
        <w:rPr>
          <w:bCs/>
        </w:rPr>
        <w:t>urther individual</w:t>
      </w:r>
      <w:r w:rsidR="00690B28" w:rsidRPr="00002042">
        <w:rPr>
          <w:bCs/>
        </w:rPr>
        <w:t xml:space="preserve"> contracts from this tender will be provided to the Scottish Roadworks Commissioner, Scottish Information Commissioner and the Children and Young Peoples’ Commissioner for Scotland to provide year-end accountancy support.</w:t>
      </w:r>
    </w:p>
    <w:p w14:paraId="5CD84093" w14:textId="7BAC1480" w:rsidR="00A14928" w:rsidRPr="00002042" w:rsidRDefault="00C16ED9" w:rsidP="00B33B37">
      <w:pPr>
        <w:numPr>
          <w:ilvl w:val="0"/>
          <w:numId w:val="4"/>
        </w:numPr>
      </w:pPr>
      <w:r w:rsidRPr="00002042">
        <w:t>The successful contract f</w:t>
      </w:r>
      <w:r w:rsidR="003D62BC" w:rsidRPr="00002042">
        <w:t>r</w:t>
      </w:r>
      <w:r w:rsidRPr="00002042">
        <w:t>o</w:t>
      </w:r>
      <w:r w:rsidR="003D62BC" w:rsidRPr="00002042">
        <w:t>m this invitation to tender</w:t>
      </w:r>
      <w:r w:rsidRPr="00002042">
        <w:t xml:space="preserve"> (ITT)</w:t>
      </w:r>
      <w:r w:rsidR="003D62BC" w:rsidRPr="00002042">
        <w:t xml:space="preserve"> will:</w:t>
      </w:r>
    </w:p>
    <w:p w14:paraId="6F32401C" w14:textId="6C76C8FF" w:rsidR="003D62BC" w:rsidRPr="00002042" w:rsidRDefault="003D62BC" w:rsidP="00B33B37">
      <w:pPr>
        <w:numPr>
          <w:ilvl w:val="1"/>
          <w:numId w:val="4"/>
        </w:numPr>
      </w:pPr>
      <w:r w:rsidRPr="00002042">
        <w:t xml:space="preserve">commence on </w:t>
      </w:r>
      <w:r w:rsidR="00690B28" w:rsidRPr="00002042">
        <w:rPr>
          <w:b/>
          <w:bCs/>
        </w:rPr>
        <w:t xml:space="preserve">Monday 30 June </w:t>
      </w:r>
      <w:r w:rsidR="00B822E0" w:rsidRPr="00002042">
        <w:rPr>
          <w:b/>
          <w:bCs/>
        </w:rPr>
        <w:t>202</w:t>
      </w:r>
      <w:r w:rsidR="00CC19C7" w:rsidRPr="00002042">
        <w:rPr>
          <w:b/>
          <w:bCs/>
        </w:rPr>
        <w:t>5</w:t>
      </w:r>
      <w:r w:rsidR="00821E48" w:rsidRPr="00002042">
        <w:rPr>
          <w:b/>
          <w:bCs/>
        </w:rPr>
        <w:t xml:space="preserve"> </w:t>
      </w:r>
      <w:r w:rsidR="00821E48" w:rsidRPr="00002042">
        <w:t xml:space="preserve">for an initial period of </w:t>
      </w:r>
      <w:r w:rsidR="0006201E" w:rsidRPr="00002042">
        <w:t>two</w:t>
      </w:r>
      <w:r w:rsidR="00821E48" w:rsidRPr="00002042">
        <w:t xml:space="preserve"> year</w:t>
      </w:r>
      <w:r w:rsidR="0006201E" w:rsidRPr="00002042">
        <w:t>s</w:t>
      </w:r>
      <w:r w:rsidR="00821E48" w:rsidRPr="00002042">
        <w:t>, with the option to renew for a further 3 years.</w:t>
      </w:r>
    </w:p>
    <w:p w14:paraId="75D263E9" w14:textId="77777777" w:rsidR="003D62BC" w:rsidRDefault="003D62BC" w:rsidP="00B33B37">
      <w:pPr>
        <w:numPr>
          <w:ilvl w:val="1"/>
          <w:numId w:val="4"/>
        </w:numPr>
      </w:pPr>
      <w:r>
        <w:t>be provided by a single supplier</w:t>
      </w:r>
    </w:p>
    <w:p w14:paraId="3D6F897E" w14:textId="77777777" w:rsidR="00821E48" w:rsidRDefault="003D62BC" w:rsidP="00B33B37">
      <w:pPr>
        <w:numPr>
          <w:ilvl w:val="1"/>
          <w:numId w:val="4"/>
        </w:numPr>
      </w:pPr>
      <w:r>
        <w:t>meet the Living Wage standard</w:t>
      </w:r>
    </w:p>
    <w:p w14:paraId="2D802200" w14:textId="7D0CAAFD" w:rsidR="00821E48" w:rsidRDefault="00821E48" w:rsidP="00B33B37">
      <w:pPr>
        <w:numPr>
          <w:ilvl w:val="1"/>
          <w:numId w:val="4"/>
        </w:numPr>
      </w:pPr>
      <w:r w:rsidRPr="00713B21">
        <w:t>share our commitment to achieving net zero by 2030 and supporting our environmental sustainability</w:t>
      </w:r>
    </w:p>
    <w:p w14:paraId="6EC4FB26" w14:textId="1E6895C4" w:rsidR="003D62BC" w:rsidRDefault="00E341F2" w:rsidP="00875660">
      <w:pPr>
        <w:pStyle w:val="Heading2"/>
        <w:keepNext/>
        <w:keepLines/>
      </w:pPr>
      <w:r>
        <w:t>Background and s</w:t>
      </w:r>
      <w:r w:rsidR="003D62BC">
        <w:t>cope</w:t>
      </w:r>
    </w:p>
    <w:p w14:paraId="5867F9E4" w14:textId="7688B122" w:rsidR="00690B28" w:rsidRDefault="00690B28" w:rsidP="00B33B37">
      <w:pPr>
        <w:keepNext/>
        <w:keepLines/>
        <w:numPr>
          <w:ilvl w:val="0"/>
          <w:numId w:val="4"/>
        </w:numPr>
      </w:pPr>
      <w:r w:rsidRPr="0090124F">
        <w:t>The Ombudsman</w:t>
      </w:r>
      <w:r w:rsidR="00610E29">
        <w:t xml:space="preserve"> and Commissioners</w:t>
      </w:r>
      <w:r w:rsidRPr="0090124F">
        <w:t>, as accountable officer</w:t>
      </w:r>
      <w:r w:rsidR="00610E29">
        <w:t>s</w:t>
      </w:r>
      <w:r w:rsidRPr="0090124F">
        <w:t xml:space="preserve">, </w:t>
      </w:r>
      <w:r w:rsidR="00610E29">
        <w:t xml:space="preserve">each </w:t>
      </w:r>
      <w:r w:rsidR="000E4C1A" w:rsidRPr="0090124F">
        <w:t>ha</w:t>
      </w:r>
      <w:r w:rsidR="00610E29">
        <w:t>ve</w:t>
      </w:r>
      <w:r w:rsidR="000E4C1A" w:rsidRPr="0090124F">
        <w:t xml:space="preserve"> a financial memorandum with the Scottish Parliament Corporate Body, and </w:t>
      </w:r>
      <w:r w:rsidR="00610E29">
        <w:t>are</w:t>
      </w:r>
      <w:r w:rsidRPr="0090124F">
        <w:t xml:space="preserve"> required to have regard for the Scottish Public Finance Manual (SPFM) and the Government Financial Reporting Manual (FReM)</w:t>
      </w:r>
      <w:r w:rsidR="000E4C1A" w:rsidRPr="0090124F">
        <w:t>.  A</w:t>
      </w:r>
      <w:r w:rsidRPr="0090124F">
        <w:t xml:space="preserve"> working knowledge of these manuals is essential for the provider of this service.</w:t>
      </w:r>
    </w:p>
    <w:p w14:paraId="4643B364" w14:textId="64330C09" w:rsidR="0090124F" w:rsidRDefault="0090124F" w:rsidP="00B33B37">
      <w:pPr>
        <w:keepNext/>
        <w:keepLines/>
        <w:numPr>
          <w:ilvl w:val="0"/>
          <w:numId w:val="4"/>
        </w:numPr>
      </w:pPr>
      <w:r>
        <w:t>SPSO finance roles are delegated as follows:</w:t>
      </w:r>
    </w:p>
    <w:tbl>
      <w:tblPr>
        <w:tblStyle w:val="TableGrid"/>
        <w:tblW w:w="8744" w:type="dxa"/>
        <w:tblInd w:w="607" w:type="dxa"/>
        <w:tblLook w:val="04A0" w:firstRow="1" w:lastRow="0" w:firstColumn="1" w:lastColumn="0" w:noHBand="0" w:noVBand="1"/>
      </w:tblPr>
      <w:tblGrid>
        <w:gridCol w:w="2504"/>
        <w:gridCol w:w="6240"/>
      </w:tblGrid>
      <w:tr w:rsidR="0090124F" w:rsidRPr="004B71C6" w14:paraId="298827E6" w14:textId="77777777" w:rsidTr="0090124F">
        <w:tc>
          <w:tcPr>
            <w:tcW w:w="2504" w:type="dxa"/>
          </w:tcPr>
          <w:p w14:paraId="4E310422" w14:textId="12250D8A" w:rsidR="0090124F" w:rsidRPr="004B71C6" w:rsidRDefault="0090124F" w:rsidP="0090124F">
            <w:pPr>
              <w:spacing w:before="60" w:after="60" w:line="276" w:lineRule="auto"/>
              <w:rPr>
                <w:sz w:val="22"/>
                <w:szCs w:val="22"/>
              </w:rPr>
            </w:pPr>
            <w:r w:rsidRPr="004B71C6">
              <w:rPr>
                <w:sz w:val="22"/>
                <w:szCs w:val="22"/>
              </w:rPr>
              <w:t>Accountable Officer</w:t>
            </w:r>
            <w:r>
              <w:rPr>
                <w:sz w:val="22"/>
                <w:szCs w:val="22"/>
              </w:rPr>
              <w:t>s</w:t>
            </w:r>
          </w:p>
        </w:tc>
        <w:tc>
          <w:tcPr>
            <w:tcW w:w="6240" w:type="dxa"/>
          </w:tcPr>
          <w:p w14:paraId="49785CAD" w14:textId="4C876D89" w:rsidR="0090124F" w:rsidRPr="004B71C6" w:rsidRDefault="0090124F" w:rsidP="0090124F">
            <w:pPr>
              <w:spacing w:before="60" w:after="60" w:line="276" w:lineRule="auto"/>
              <w:jc w:val="center"/>
              <w:rPr>
                <w:sz w:val="22"/>
                <w:szCs w:val="22"/>
              </w:rPr>
            </w:pPr>
            <w:r w:rsidRPr="004B71C6">
              <w:rPr>
                <w:sz w:val="22"/>
                <w:szCs w:val="22"/>
              </w:rPr>
              <w:t>Ombudsman</w:t>
            </w:r>
            <w:r>
              <w:rPr>
                <w:sz w:val="22"/>
                <w:szCs w:val="22"/>
              </w:rPr>
              <w:t>, SBC Commissioner and SHRC Commissioner</w:t>
            </w:r>
          </w:p>
        </w:tc>
      </w:tr>
      <w:tr w:rsidR="0090124F" w:rsidRPr="004B71C6" w14:paraId="39929BD7" w14:textId="77777777" w:rsidTr="0090124F">
        <w:tc>
          <w:tcPr>
            <w:tcW w:w="2504" w:type="dxa"/>
          </w:tcPr>
          <w:p w14:paraId="676F6E3B" w14:textId="77777777" w:rsidR="0090124F" w:rsidRPr="004B71C6" w:rsidRDefault="0090124F" w:rsidP="0090124F">
            <w:pPr>
              <w:spacing w:before="60" w:after="60" w:line="276" w:lineRule="auto"/>
              <w:rPr>
                <w:sz w:val="22"/>
                <w:szCs w:val="22"/>
              </w:rPr>
            </w:pPr>
            <w:r w:rsidRPr="004B71C6">
              <w:rPr>
                <w:sz w:val="22"/>
                <w:szCs w:val="22"/>
              </w:rPr>
              <w:t>Finance Manager</w:t>
            </w:r>
          </w:p>
        </w:tc>
        <w:tc>
          <w:tcPr>
            <w:tcW w:w="6240" w:type="dxa"/>
          </w:tcPr>
          <w:p w14:paraId="38E4B8CE" w14:textId="77777777" w:rsidR="0090124F" w:rsidRPr="004B71C6" w:rsidRDefault="0090124F" w:rsidP="0090124F">
            <w:pPr>
              <w:spacing w:before="60" w:after="60" w:line="276" w:lineRule="auto"/>
              <w:jc w:val="center"/>
              <w:rPr>
                <w:sz w:val="22"/>
                <w:szCs w:val="22"/>
              </w:rPr>
            </w:pPr>
            <w:r w:rsidRPr="004B71C6">
              <w:rPr>
                <w:sz w:val="22"/>
                <w:szCs w:val="22"/>
              </w:rPr>
              <w:t>Head of Corporate and Shared Services</w:t>
            </w:r>
          </w:p>
        </w:tc>
      </w:tr>
      <w:tr w:rsidR="0090124F" w:rsidRPr="004B71C6" w14:paraId="3D12E531" w14:textId="77777777" w:rsidTr="0090124F">
        <w:tc>
          <w:tcPr>
            <w:tcW w:w="2504" w:type="dxa"/>
          </w:tcPr>
          <w:p w14:paraId="48715B40" w14:textId="77777777" w:rsidR="0090124F" w:rsidRPr="004B71C6" w:rsidRDefault="0090124F" w:rsidP="0090124F">
            <w:pPr>
              <w:spacing w:before="60" w:after="60" w:line="276" w:lineRule="auto"/>
              <w:rPr>
                <w:sz w:val="22"/>
                <w:szCs w:val="22"/>
              </w:rPr>
            </w:pPr>
            <w:r w:rsidRPr="004B71C6">
              <w:rPr>
                <w:sz w:val="22"/>
                <w:szCs w:val="22"/>
              </w:rPr>
              <w:t>Finance Officer</w:t>
            </w:r>
          </w:p>
        </w:tc>
        <w:tc>
          <w:tcPr>
            <w:tcW w:w="6240" w:type="dxa"/>
          </w:tcPr>
          <w:p w14:paraId="3FC67F6A" w14:textId="4FDE4B95" w:rsidR="0090124F" w:rsidRPr="004B71C6" w:rsidRDefault="0090124F" w:rsidP="0090124F">
            <w:pPr>
              <w:spacing w:before="60" w:after="60" w:line="276" w:lineRule="auto"/>
              <w:jc w:val="center"/>
              <w:rPr>
                <w:sz w:val="22"/>
                <w:szCs w:val="22"/>
              </w:rPr>
            </w:pPr>
            <w:r w:rsidRPr="004B71C6">
              <w:rPr>
                <w:sz w:val="22"/>
                <w:szCs w:val="22"/>
              </w:rPr>
              <w:t>Corporate Services Manager</w:t>
            </w:r>
          </w:p>
        </w:tc>
      </w:tr>
      <w:tr w:rsidR="0090124F" w:rsidRPr="004B71C6" w14:paraId="09A49028" w14:textId="77777777" w:rsidTr="0090124F">
        <w:tc>
          <w:tcPr>
            <w:tcW w:w="2504" w:type="dxa"/>
          </w:tcPr>
          <w:p w14:paraId="18EF60EB" w14:textId="77777777" w:rsidR="0090124F" w:rsidRPr="004B71C6" w:rsidRDefault="0090124F" w:rsidP="0090124F">
            <w:pPr>
              <w:spacing w:before="60" w:after="60" w:line="276" w:lineRule="auto"/>
              <w:rPr>
                <w:sz w:val="22"/>
                <w:szCs w:val="22"/>
              </w:rPr>
            </w:pPr>
            <w:r w:rsidRPr="004B71C6">
              <w:rPr>
                <w:sz w:val="22"/>
                <w:szCs w:val="22"/>
              </w:rPr>
              <w:t>Finance Administrator</w:t>
            </w:r>
          </w:p>
        </w:tc>
        <w:tc>
          <w:tcPr>
            <w:tcW w:w="6240" w:type="dxa"/>
          </w:tcPr>
          <w:p w14:paraId="3265E23A" w14:textId="27473BE3" w:rsidR="0090124F" w:rsidRPr="004B71C6" w:rsidRDefault="0090124F" w:rsidP="0090124F">
            <w:pPr>
              <w:spacing w:before="60" w:after="60" w:line="276" w:lineRule="auto"/>
              <w:jc w:val="center"/>
              <w:rPr>
                <w:sz w:val="22"/>
                <w:szCs w:val="22"/>
              </w:rPr>
            </w:pPr>
            <w:r w:rsidRPr="004B71C6">
              <w:rPr>
                <w:sz w:val="22"/>
                <w:szCs w:val="22"/>
              </w:rPr>
              <w:t>Corporate Services Officer</w:t>
            </w:r>
          </w:p>
        </w:tc>
      </w:tr>
      <w:tr w:rsidR="0090124F" w:rsidRPr="004B71C6" w14:paraId="6DB2B3FB" w14:textId="77777777" w:rsidTr="0090124F">
        <w:tc>
          <w:tcPr>
            <w:tcW w:w="2504" w:type="dxa"/>
          </w:tcPr>
          <w:p w14:paraId="093B1425" w14:textId="77777777" w:rsidR="0090124F" w:rsidRPr="004B71C6" w:rsidRDefault="0090124F" w:rsidP="0090124F">
            <w:pPr>
              <w:spacing w:before="60" w:after="60" w:line="276" w:lineRule="auto"/>
              <w:rPr>
                <w:sz w:val="22"/>
                <w:szCs w:val="22"/>
              </w:rPr>
            </w:pPr>
            <w:r w:rsidRPr="004B71C6">
              <w:rPr>
                <w:sz w:val="22"/>
                <w:szCs w:val="22"/>
              </w:rPr>
              <w:t>Accountant</w:t>
            </w:r>
          </w:p>
        </w:tc>
        <w:tc>
          <w:tcPr>
            <w:tcW w:w="6240" w:type="dxa"/>
          </w:tcPr>
          <w:p w14:paraId="3A80791A" w14:textId="7CB06F4E" w:rsidR="0090124F" w:rsidRPr="004B71C6" w:rsidRDefault="0090124F" w:rsidP="0090124F">
            <w:pPr>
              <w:spacing w:before="60" w:after="60" w:line="276" w:lineRule="auto"/>
              <w:jc w:val="center"/>
              <w:rPr>
                <w:sz w:val="22"/>
                <w:szCs w:val="22"/>
              </w:rPr>
            </w:pPr>
            <w:r w:rsidRPr="004B71C6">
              <w:rPr>
                <w:sz w:val="22"/>
                <w:szCs w:val="22"/>
              </w:rPr>
              <w:t xml:space="preserve">Contract </w:t>
            </w:r>
            <w:r>
              <w:rPr>
                <w:sz w:val="22"/>
                <w:szCs w:val="22"/>
              </w:rPr>
              <w:t xml:space="preserve">(incumbent - </w:t>
            </w:r>
            <w:r w:rsidRPr="004B71C6">
              <w:rPr>
                <w:sz w:val="22"/>
                <w:szCs w:val="22"/>
              </w:rPr>
              <w:t>Julie Murphy</w:t>
            </w:r>
            <w:r>
              <w:rPr>
                <w:sz w:val="22"/>
                <w:szCs w:val="22"/>
              </w:rPr>
              <w:t>)</w:t>
            </w:r>
          </w:p>
        </w:tc>
      </w:tr>
      <w:tr w:rsidR="0090124F" w:rsidRPr="004B71C6" w14:paraId="0E834809" w14:textId="77777777" w:rsidTr="0090124F">
        <w:tc>
          <w:tcPr>
            <w:tcW w:w="2504" w:type="dxa"/>
          </w:tcPr>
          <w:p w14:paraId="7BAFA6B5" w14:textId="77777777" w:rsidR="0090124F" w:rsidRPr="004B71C6" w:rsidRDefault="0090124F" w:rsidP="0090124F">
            <w:pPr>
              <w:spacing w:before="60" w:after="60" w:line="276" w:lineRule="auto"/>
              <w:rPr>
                <w:sz w:val="22"/>
                <w:szCs w:val="22"/>
              </w:rPr>
            </w:pPr>
            <w:r w:rsidRPr="004B71C6">
              <w:rPr>
                <w:sz w:val="22"/>
                <w:szCs w:val="22"/>
              </w:rPr>
              <w:t>Budget Holders</w:t>
            </w:r>
          </w:p>
        </w:tc>
        <w:tc>
          <w:tcPr>
            <w:tcW w:w="6240" w:type="dxa"/>
          </w:tcPr>
          <w:p w14:paraId="1C9B57C8" w14:textId="4ECC2647" w:rsidR="0090124F" w:rsidRPr="004B71C6" w:rsidRDefault="0090124F" w:rsidP="0090124F">
            <w:pPr>
              <w:spacing w:before="60" w:after="60" w:line="276" w:lineRule="auto"/>
              <w:jc w:val="center"/>
              <w:rPr>
                <w:sz w:val="22"/>
                <w:szCs w:val="22"/>
              </w:rPr>
            </w:pPr>
            <w:r w:rsidRPr="004B71C6">
              <w:rPr>
                <w:sz w:val="22"/>
                <w:szCs w:val="22"/>
              </w:rPr>
              <w:t>as delegated</w:t>
            </w:r>
          </w:p>
        </w:tc>
      </w:tr>
      <w:tr w:rsidR="0090124F" w:rsidRPr="004B71C6" w14:paraId="0EE9F1B3" w14:textId="77777777" w:rsidTr="0090124F">
        <w:tc>
          <w:tcPr>
            <w:tcW w:w="2504" w:type="dxa"/>
          </w:tcPr>
          <w:p w14:paraId="5D6F3378" w14:textId="77777777" w:rsidR="0090124F" w:rsidRPr="004B71C6" w:rsidRDefault="0090124F" w:rsidP="0090124F">
            <w:pPr>
              <w:spacing w:before="60" w:after="60" w:line="276" w:lineRule="auto"/>
              <w:rPr>
                <w:sz w:val="22"/>
                <w:szCs w:val="22"/>
              </w:rPr>
            </w:pPr>
            <w:r w:rsidRPr="004B71C6">
              <w:rPr>
                <w:sz w:val="22"/>
                <w:szCs w:val="22"/>
              </w:rPr>
              <w:t>Procurement Officer</w:t>
            </w:r>
          </w:p>
        </w:tc>
        <w:tc>
          <w:tcPr>
            <w:tcW w:w="6240" w:type="dxa"/>
          </w:tcPr>
          <w:p w14:paraId="0E167743" w14:textId="77777777" w:rsidR="0090124F" w:rsidRPr="004B71C6" w:rsidRDefault="0090124F" w:rsidP="0090124F">
            <w:pPr>
              <w:spacing w:before="60" w:after="60" w:line="276" w:lineRule="auto"/>
              <w:jc w:val="center"/>
              <w:rPr>
                <w:sz w:val="22"/>
                <w:szCs w:val="22"/>
              </w:rPr>
            </w:pPr>
            <w:r w:rsidRPr="004B71C6">
              <w:rPr>
                <w:sz w:val="22"/>
                <w:szCs w:val="22"/>
              </w:rPr>
              <w:t>Corporate Services Team Assistant</w:t>
            </w:r>
          </w:p>
        </w:tc>
      </w:tr>
    </w:tbl>
    <w:p w14:paraId="176D7EA9" w14:textId="77777777" w:rsidR="0090124F" w:rsidRPr="0090124F" w:rsidRDefault="0090124F" w:rsidP="0090124F">
      <w:pPr>
        <w:keepNext/>
        <w:keepLines/>
        <w:ind w:left="360"/>
      </w:pPr>
    </w:p>
    <w:p w14:paraId="16E4DCE8" w14:textId="45388CFE" w:rsidR="00355DF4" w:rsidRDefault="00D87A5C" w:rsidP="00D87A5C">
      <w:pPr>
        <w:numPr>
          <w:ilvl w:val="0"/>
          <w:numId w:val="4"/>
        </w:numPr>
        <w:rPr>
          <w:bCs/>
        </w:rPr>
      </w:pPr>
      <w:r w:rsidRPr="00D87A5C">
        <w:rPr>
          <w:bCs/>
        </w:rPr>
        <w:t xml:space="preserve">The accountant is responsible for working with the </w:t>
      </w:r>
      <w:r>
        <w:rPr>
          <w:bCs/>
        </w:rPr>
        <w:t xml:space="preserve">SPSO </w:t>
      </w:r>
      <w:r w:rsidRPr="00D87A5C">
        <w:rPr>
          <w:bCs/>
        </w:rPr>
        <w:t xml:space="preserve">finance </w:t>
      </w:r>
      <w:r w:rsidR="0090124F">
        <w:rPr>
          <w:bCs/>
        </w:rPr>
        <w:t>team</w:t>
      </w:r>
      <w:r w:rsidRPr="00D87A5C">
        <w:rPr>
          <w:bCs/>
        </w:rPr>
        <w:t xml:space="preserve"> in preparing the </w:t>
      </w:r>
      <w:r>
        <w:rPr>
          <w:bCs/>
        </w:rPr>
        <w:t>monthly</w:t>
      </w:r>
      <w:r w:rsidR="00355DF4">
        <w:rPr>
          <w:bCs/>
        </w:rPr>
        <w:t xml:space="preserve"> outturn for each organisation’s </w:t>
      </w:r>
      <w:r>
        <w:rPr>
          <w:bCs/>
        </w:rPr>
        <w:t>management reports</w:t>
      </w:r>
      <w:r w:rsidR="00355DF4">
        <w:rPr>
          <w:bCs/>
        </w:rPr>
        <w:t xml:space="preserve">.  At year-end, the accountant prepares </w:t>
      </w:r>
      <w:r>
        <w:rPr>
          <w:bCs/>
        </w:rPr>
        <w:t xml:space="preserve">the </w:t>
      </w:r>
      <w:r w:rsidRPr="00D87A5C">
        <w:rPr>
          <w:bCs/>
        </w:rPr>
        <w:t xml:space="preserve">annual </w:t>
      </w:r>
      <w:r w:rsidR="00B23E9F">
        <w:rPr>
          <w:bCs/>
        </w:rPr>
        <w:t xml:space="preserve">financial </w:t>
      </w:r>
      <w:r w:rsidR="00355DF4">
        <w:rPr>
          <w:bCs/>
        </w:rPr>
        <w:t xml:space="preserve">schedules and </w:t>
      </w:r>
      <w:r w:rsidR="00B23E9F">
        <w:rPr>
          <w:bCs/>
        </w:rPr>
        <w:t>statements</w:t>
      </w:r>
      <w:r>
        <w:rPr>
          <w:bCs/>
        </w:rPr>
        <w:t xml:space="preserve"> for external audit and publication</w:t>
      </w:r>
      <w:r w:rsidRPr="00D87A5C">
        <w:rPr>
          <w:bCs/>
        </w:rPr>
        <w:t>.</w:t>
      </w:r>
      <w:r>
        <w:rPr>
          <w:bCs/>
        </w:rPr>
        <w:t xml:space="preserve"> </w:t>
      </w:r>
      <w:r w:rsidR="00355DF4">
        <w:rPr>
          <w:bCs/>
        </w:rPr>
        <w:t xml:space="preserve"> </w:t>
      </w:r>
    </w:p>
    <w:p w14:paraId="73D5CE91" w14:textId="0959EA24" w:rsidR="00D87A5C" w:rsidRPr="00D87A5C" w:rsidRDefault="00355DF4" w:rsidP="00D87A5C">
      <w:pPr>
        <w:numPr>
          <w:ilvl w:val="0"/>
          <w:numId w:val="4"/>
        </w:numPr>
        <w:rPr>
          <w:bCs/>
        </w:rPr>
      </w:pPr>
      <w:r>
        <w:rPr>
          <w:bCs/>
        </w:rPr>
        <w:t xml:space="preserve">The accountant supports the external audit process and provides ad hoc professional advice directly to the Corporate Services Managers in all </w:t>
      </w:r>
      <w:r w:rsidR="0090124F">
        <w:rPr>
          <w:bCs/>
        </w:rPr>
        <w:t>supported</w:t>
      </w:r>
      <w:r>
        <w:rPr>
          <w:bCs/>
        </w:rPr>
        <w:t xml:space="preserve"> organisations when required.</w:t>
      </w:r>
    </w:p>
    <w:p w14:paraId="3FFEFF74" w14:textId="311FBF08" w:rsidR="00D87A5C" w:rsidRDefault="00D87A5C" w:rsidP="00D87A5C">
      <w:pPr>
        <w:numPr>
          <w:ilvl w:val="0"/>
          <w:numId w:val="4"/>
        </w:numPr>
        <w:rPr>
          <w:bCs/>
        </w:rPr>
      </w:pPr>
      <w:r w:rsidRPr="00D87A5C">
        <w:rPr>
          <w:bCs/>
        </w:rPr>
        <w:t xml:space="preserve">The accountant provides the accountable officers with an external control </w:t>
      </w:r>
      <w:r w:rsidR="00355DF4">
        <w:rPr>
          <w:bCs/>
        </w:rPr>
        <w:t xml:space="preserve">and assurance </w:t>
      </w:r>
      <w:r w:rsidRPr="00D87A5C">
        <w:rPr>
          <w:bCs/>
        </w:rPr>
        <w:t>to the work of the finance officer and finance administrator</w:t>
      </w:r>
      <w:r>
        <w:rPr>
          <w:bCs/>
        </w:rPr>
        <w:t>.</w:t>
      </w:r>
    </w:p>
    <w:p w14:paraId="13BA78F1" w14:textId="77777777" w:rsidR="00610E29" w:rsidRDefault="00355DF4" w:rsidP="00D87A5C">
      <w:pPr>
        <w:numPr>
          <w:ilvl w:val="0"/>
          <w:numId w:val="4"/>
        </w:numPr>
        <w:rPr>
          <w:bCs/>
        </w:rPr>
      </w:pPr>
      <w:r w:rsidRPr="00120F47">
        <w:rPr>
          <w:bCs/>
        </w:rPr>
        <w:t>Currently, this work is approximately</w:t>
      </w:r>
      <w:r w:rsidR="00610E29">
        <w:rPr>
          <w:bCs/>
        </w:rPr>
        <w:t>:</w:t>
      </w:r>
    </w:p>
    <w:p w14:paraId="0730370A" w14:textId="5ACA39DA" w:rsidR="00610E29" w:rsidRDefault="00355DF4" w:rsidP="00610E29">
      <w:pPr>
        <w:numPr>
          <w:ilvl w:val="1"/>
          <w:numId w:val="4"/>
        </w:numPr>
        <w:rPr>
          <w:bCs/>
        </w:rPr>
      </w:pPr>
      <w:r w:rsidRPr="00120F47">
        <w:rPr>
          <w:bCs/>
        </w:rPr>
        <w:t xml:space="preserve"> </w:t>
      </w:r>
      <w:r w:rsidR="00120F47" w:rsidRPr="00120F47">
        <w:rPr>
          <w:b/>
        </w:rPr>
        <w:t>2</w:t>
      </w:r>
      <w:r w:rsidRPr="00120F47">
        <w:rPr>
          <w:b/>
        </w:rPr>
        <w:t xml:space="preserve"> days</w:t>
      </w:r>
      <w:r w:rsidR="00610E29">
        <w:rPr>
          <w:b/>
        </w:rPr>
        <w:t xml:space="preserve"> per month, at the</w:t>
      </w:r>
      <w:r w:rsidRPr="00120F47">
        <w:rPr>
          <w:b/>
        </w:rPr>
        <w:t xml:space="preserve"> mid-month</w:t>
      </w:r>
      <w:r w:rsidR="00610E29">
        <w:rPr>
          <w:b/>
        </w:rPr>
        <w:t xml:space="preserve"> point</w:t>
      </w:r>
      <w:r w:rsidRPr="00120F47">
        <w:rPr>
          <w:bCs/>
        </w:rPr>
        <w:t xml:space="preserve"> for the management reports</w:t>
      </w:r>
      <w:r w:rsidR="00120F47" w:rsidRPr="00120F47">
        <w:rPr>
          <w:bCs/>
        </w:rPr>
        <w:t xml:space="preserve"> from September-April;</w:t>
      </w:r>
      <w:r w:rsidRPr="00120F47">
        <w:rPr>
          <w:bCs/>
        </w:rPr>
        <w:t xml:space="preserve"> and </w:t>
      </w:r>
    </w:p>
    <w:p w14:paraId="334EB8DB" w14:textId="32411E32" w:rsidR="00355DF4" w:rsidRPr="00120F47" w:rsidRDefault="00355DF4" w:rsidP="00610E29">
      <w:pPr>
        <w:numPr>
          <w:ilvl w:val="1"/>
          <w:numId w:val="4"/>
        </w:numPr>
        <w:rPr>
          <w:bCs/>
        </w:rPr>
      </w:pPr>
      <w:r w:rsidRPr="00120F47">
        <w:rPr>
          <w:b/>
        </w:rPr>
        <w:t>2-3 weeks</w:t>
      </w:r>
      <w:r w:rsidRPr="00120F47">
        <w:rPr>
          <w:bCs/>
        </w:rPr>
        <w:t xml:space="preserve"> additional work </w:t>
      </w:r>
      <w:r w:rsidR="00610E29">
        <w:rPr>
          <w:bCs/>
        </w:rPr>
        <w:t xml:space="preserve">between </w:t>
      </w:r>
      <w:r w:rsidR="00610E29" w:rsidRPr="00120F47">
        <w:rPr>
          <w:bCs/>
        </w:rPr>
        <w:t xml:space="preserve">May-August </w:t>
      </w:r>
      <w:r w:rsidRPr="00120F47">
        <w:rPr>
          <w:bCs/>
        </w:rPr>
        <w:t>for the year-end reports and external audit activities</w:t>
      </w:r>
      <w:r w:rsidR="00610E29">
        <w:rPr>
          <w:bCs/>
        </w:rPr>
        <w:t>.</w:t>
      </w:r>
      <w:r w:rsidRPr="00120F47">
        <w:rPr>
          <w:bCs/>
        </w:rPr>
        <w:t xml:space="preserve"> </w:t>
      </w:r>
    </w:p>
    <w:p w14:paraId="592A03D6" w14:textId="77777777" w:rsidR="003A5A68" w:rsidRPr="003A5A68" w:rsidRDefault="00610E29" w:rsidP="00610E29">
      <w:pPr>
        <w:numPr>
          <w:ilvl w:val="1"/>
          <w:numId w:val="4"/>
        </w:numPr>
        <w:rPr>
          <w:bCs/>
        </w:rPr>
      </w:pPr>
      <w:r w:rsidRPr="003A5A68">
        <w:rPr>
          <w:bCs/>
        </w:rPr>
        <w:t>The a</w:t>
      </w:r>
      <w:r w:rsidR="00690B28" w:rsidRPr="003A5A68">
        <w:rPr>
          <w:bCs/>
        </w:rPr>
        <w:t xml:space="preserve">dditional </w:t>
      </w:r>
      <w:r w:rsidR="006058C4" w:rsidRPr="003A5A68">
        <w:rPr>
          <w:bCs/>
        </w:rPr>
        <w:t>Commissioner</w:t>
      </w:r>
      <w:r w:rsidR="009D229B" w:rsidRPr="003A5A68">
        <w:rPr>
          <w:bCs/>
        </w:rPr>
        <w:t>s’</w:t>
      </w:r>
      <w:r w:rsidR="00690B28" w:rsidRPr="003A5A68">
        <w:rPr>
          <w:bCs/>
        </w:rPr>
        <w:t xml:space="preserve"> contracts</w:t>
      </w:r>
      <w:r w:rsidR="003A5A68" w:rsidRPr="003A5A68">
        <w:rPr>
          <w:bCs/>
        </w:rPr>
        <w:t xml:space="preserve"> for:</w:t>
      </w:r>
    </w:p>
    <w:p w14:paraId="43E9E803" w14:textId="6896B4EF" w:rsidR="003A5A68" w:rsidRPr="000D668C" w:rsidRDefault="003A5A68" w:rsidP="003A5A68">
      <w:pPr>
        <w:numPr>
          <w:ilvl w:val="2"/>
          <w:numId w:val="4"/>
        </w:numPr>
        <w:rPr>
          <w:bCs/>
        </w:rPr>
      </w:pPr>
      <w:r w:rsidRPr="000D668C">
        <w:rPr>
          <w:bCs/>
          <w:i/>
          <w:iCs/>
        </w:rPr>
        <w:t>Scottish Road Works Commissioner</w:t>
      </w:r>
      <w:r w:rsidRPr="000D668C">
        <w:rPr>
          <w:bCs/>
        </w:rPr>
        <w:t xml:space="preserve">:  </w:t>
      </w:r>
      <w:r w:rsidRPr="000D668C">
        <w:rPr>
          <w:b/>
        </w:rPr>
        <w:t>4-5 days a year</w:t>
      </w:r>
      <w:r w:rsidRPr="000D668C">
        <w:rPr>
          <w:bCs/>
        </w:rPr>
        <w:t>, made up of approximately 3 days to prepare year end accounts, half day on audit queries/meetings and the remainder on ad-hoc questions.</w:t>
      </w:r>
    </w:p>
    <w:p w14:paraId="25F847FE" w14:textId="0404934E" w:rsidR="003A5A68" w:rsidRPr="00002042" w:rsidRDefault="003A5A68" w:rsidP="000D668C">
      <w:pPr>
        <w:numPr>
          <w:ilvl w:val="2"/>
          <w:numId w:val="4"/>
        </w:numPr>
        <w:rPr>
          <w:bCs/>
        </w:rPr>
      </w:pPr>
      <w:r w:rsidRPr="000D668C">
        <w:rPr>
          <w:bCs/>
          <w:i/>
          <w:iCs/>
        </w:rPr>
        <w:t>Scottish Information Commissioner</w:t>
      </w:r>
      <w:r w:rsidRPr="000D668C">
        <w:rPr>
          <w:bCs/>
        </w:rPr>
        <w:t xml:space="preserve">:  </w:t>
      </w:r>
      <w:r w:rsidR="000D668C" w:rsidRPr="000D668C">
        <w:rPr>
          <w:b/>
        </w:rPr>
        <w:t>4-5 days a year</w:t>
      </w:r>
      <w:r w:rsidR="000D668C" w:rsidRPr="000D668C">
        <w:rPr>
          <w:bCs/>
        </w:rPr>
        <w:t xml:space="preserve">, made up of approximately 3 days to prepare year end accounts, half day on audit queries/meetings and the </w:t>
      </w:r>
      <w:r w:rsidR="000D668C" w:rsidRPr="00002042">
        <w:rPr>
          <w:bCs/>
        </w:rPr>
        <w:t>remainder on ad-hoc questions.</w:t>
      </w:r>
    </w:p>
    <w:p w14:paraId="4A2E1C95" w14:textId="7FDF064D" w:rsidR="00690B28" w:rsidRPr="00002042" w:rsidRDefault="003A5A68" w:rsidP="00002042">
      <w:pPr>
        <w:pStyle w:val="ListParagraph"/>
        <w:numPr>
          <w:ilvl w:val="2"/>
          <w:numId w:val="4"/>
        </w:numPr>
        <w:rPr>
          <w:bCs/>
        </w:rPr>
      </w:pPr>
      <w:r w:rsidRPr="00002042">
        <w:rPr>
          <w:bCs/>
          <w:i/>
          <w:iCs/>
        </w:rPr>
        <w:t>Children and Young Peoples’ Commissioner for Scotland</w:t>
      </w:r>
      <w:r w:rsidRPr="00002042">
        <w:rPr>
          <w:bCs/>
        </w:rPr>
        <w:t xml:space="preserve">:  </w:t>
      </w:r>
      <w:r w:rsidR="00002042" w:rsidRPr="00002042">
        <w:rPr>
          <w:bCs/>
        </w:rPr>
        <w:t>5</w:t>
      </w:r>
      <w:r w:rsidR="00002042" w:rsidRPr="00002042">
        <w:rPr>
          <w:bCs/>
        </w:rPr>
        <w:t>-8</w:t>
      </w:r>
      <w:r w:rsidR="00002042" w:rsidRPr="00002042">
        <w:rPr>
          <w:bCs/>
        </w:rPr>
        <w:t xml:space="preserve"> days a year, made up of approximately </w:t>
      </w:r>
      <w:r w:rsidR="00002042" w:rsidRPr="00002042">
        <w:rPr>
          <w:bCs/>
        </w:rPr>
        <w:t>4</w:t>
      </w:r>
      <w:r w:rsidR="00002042" w:rsidRPr="00002042">
        <w:rPr>
          <w:bCs/>
        </w:rPr>
        <w:t xml:space="preserve"> days to prepare year end accounts, </w:t>
      </w:r>
      <w:r w:rsidR="00002042" w:rsidRPr="00002042">
        <w:rPr>
          <w:bCs/>
        </w:rPr>
        <w:t xml:space="preserve">a </w:t>
      </w:r>
      <w:r w:rsidR="00002042" w:rsidRPr="00002042">
        <w:rPr>
          <w:bCs/>
        </w:rPr>
        <w:t>day on audit queries/meetings and the remainder on ad-hoc questions.</w:t>
      </w:r>
    </w:p>
    <w:p w14:paraId="6CD02999" w14:textId="77777777" w:rsidR="00B23E9F" w:rsidRDefault="00B23E9F" w:rsidP="00B23E9F">
      <w:pPr>
        <w:pStyle w:val="Heading2"/>
      </w:pPr>
      <w:r>
        <w:t>Key deliverables</w:t>
      </w:r>
    </w:p>
    <w:p w14:paraId="465CE14A" w14:textId="4D6BFEEC" w:rsidR="00355DF4" w:rsidRPr="00355DF4" w:rsidRDefault="00355DF4" w:rsidP="00355DF4">
      <w:pPr>
        <w:numPr>
          <w:ilvl w:val="0"/>
          <w:numId w:val="4"/>
        </w:numPr>
        <w:rPr>
          <w:bCs/>
        </w:rPr>
      </w:pPr>
      <w:r>
        <w:rPr>
          <w:bCs/>
        </w:rPr>
        <w:t>On an annual basis the schedules, financial statements and responses to technical external audit queries is provided.</w:t>
      </w:r>
    </w:p>
    <w:p w14:paraId="62BE45EB" w14:textId="7DEB4903" w:rsidR="00D87A5C" w:rsidRPr="00D87A5C" w:rsidRDefault="00D87A5C" w:rsidP="00D87A5C">
      <w:pPr>
        <w:numPr>
          <w:ilvl w:val="0"/>
          <w:numId w:val="4"/>
        </w:numPr>
        <w:rPr>
          <w:bCs/>
        </w:rPr>
      </w:pPr>
      <w:r w:rsidRPr="00D87A5C">
        <w:rPr>
          <w:bCs/>
        </w:rPr>
        <w:t>On a monthly basis, the accountant will:</w:t>
      </w:r>
    </w:p>
    <w:p w14:paraId="3FDB4E17" w14:textId="77777777" w:rsidR="00120F47" w:rsidRPr="00120F47" w:rsidRDefault="00120F47" w:rsidP="00120F47">
      <w:pPr>
        <w:pStyle w:val="ListParagraph"/>
        <w:numPr>
          <w:ilvl w:val="1"/>
          <w:numId w:val="4"/>
        </w:numPr>
        <w:rPr>
          <w:color w:val="auto"/>
        </w:rPr>
      </w:pPr>
      <w:r w:rsidRPr="00120F47">
        <w:rPr>
          <w:color w:val="auto"/>
        </w:rPr>
        <w:t xml:space="preserve">Prepare and input monthly journals such as payroll costs </w:t>
      </w:r>
    </w:p>
    <w:p w14:paraId="5B4F9C80" w14:textId="77777777" w:rsidR="00120F47" w:rsidRPr="00120F47" w:rsidRDefault="00120F47" w:rsidP="00120F47">
      <w:pPr>
        <w:pStyle w:val="ListParagraph"/>
        <w:numPr>
          <w:ilvl w:val="1"/>
          <w:numId w:val="4"/>
        </w:numPr>
        <w:rPr>
          <w:color w:val="auto"/>
        </w:rPr>
      </w:pPr>
      <w:r w:rsidRPr="00120F47">
        <w:rPr>
          <w:color w:val="auto"/>
        </w:rPr>
        <w:t>Carry out a detailed review of the nominal ledger, checking any anomalies to underlying documentation</w:t>
      </w:r>
    </w:p>
    <w:p w14:paraId="1833B3AB" w14:textId="77777777" w:rsidR="00120F47" w:rsidRPr="00120F47" w:rsidRDefault="00120F47" w:rsidP="00120F47">
      <w:pPr>
        <w:pStyle w:val="ListParagraph"/>
        <w:numPr>
          <w:ilvl w:val="1"/>
          <w:numId w:val="4"/>
        </w:numPr>
        <w:rPr>
          <w:color w:val="auto"/>
        </w:rPr>
      </w:pPr>
      <w:r w:rsidRPr="00120F47">
        <w:rPr>
          <w:color w:val="auto"/>
        </w:rPr>
        <w:t>Reconcile key balance sheet accounts to underlying reports</w:t>
      </w:r>
    </w:p>
    <w:p w14:paraId="12806072" w14:textId="77777777" w:rsidR="00120F47" w:rsidRPr="00120F47" w:rsidRDefault="00120F47" w:rsidP="00120F47">
      <w:pPr>
        <w:pStyle w:val="ListParagraph"/>
        <w:numPr>
          <w:ilvl w:val="1"/>
          <w:numId w:val="4"/>
        </w:numPr>
        <w:rPr>
          <w:color w:val="auto"/>
        </w:rPr>
      </w:pPr>
      <w:r w:rsidRPr="00120F47">
        <w:rPr>
          <w:color w:val="auto"/>
        </w:rPr>
        <w:t>Prepare monthly budget report and quarterly performance report</w:t>
      </w:r>
    </w:p>
    <w:p w14:paraId="6200A72A" w14:textId="4CCEBAFD" w:rsidR="00120F47" w:rsidRPr="00120F47" w:rsidRDefault="00120F47" w:rsidP="00120F47">
      <w:pPr>
        <w:pStyle w:val="ListParagraph"/>
        <w:numPr>
          <w:ilvl w:val="1"/>
          <w:numId w:val="4"/>
        </w:numPr>
        <w:rPr>
          <w:color w:val="auto"/>
        </w:rPr>
      </w:pPr>
      <w:r w:rsidRPr="00120F47">
        <w:rPr>
          <w:color w:val="auto"/>
        </w:rPr>
        <w:t>Complete and submit a checklist to demonstrate completion of the above</w:t>
      </w:r>
      <w:r>
        <w:rPr>
          <w:color w:val="auto"/>
        </w:rPr>
        <w:t>.</w:t>
      </w:r>
    </w:p>
    <w:p w14:paraId="20D8C36E" w14:textId="77777777" w:rsidR="00CC19C7" w:rsidRDefault="00CC19C7" w:rsidP="00CC19C7">
      <w:pPr>
        <w:ind w:left="567"/>
      </w:pPr>
    </w:p>
    <w:p w14:paraId="6A206B78" w14:textId="77777777" w:rsidR="00CC19C7" w:rsidRPr="00CC19C7" w:rsidRDefault="00CC19C7" w:rsidP="00CC19C7">
      <w:pPr>
        <w:pStyle w:val="Heading1"/>
      </w:pPr>
      <w:bookmarkStart w:id="2" w:name="_Toc179808215"/>
      <w:bookmarkStart w:id="3" w:name="_Toc190964785"/>
      <w:r w:rsidRPr="002C6C2C">
        <w:t xml:space="preserve">Tender </w:t>
      </w:r>
      <w:r>
        <w:t>s</w:t>
      </w:r>
      <w:r w:rsidRPr="002C6C2C">
        <w:t>ubmission</w:t>
      </w:r>
      <w:r>
        <w:t xml:space="preserve"> requirement</w:t>
      </w:r>
      <w:r w:rsidRPr="002C6C2C">
        <w:t>s</w:t>
      </w:r>
      <w:bookmarkEnd w:id="2"/>
      <w:bookmarkEnd w:id="3"/>
    </w:p>
    <w:p w14:paraId="78C7BC4C" w14:textId="77777777" w:rsidR="00CC19C7" w:rsidRPr="002C6C2C" w:rsidRDefault="00CC19C7" w:rsidP="00B33B37">
      <w:pPr>
        <w:numPr>
          <w:ilvl w:val="0"/>
          <w:numId w:val="4"/>
        </w:numPr>
        <w:rPr>
          <w:szCs w:val="22"/>
        </w:rPr>
      </w:pPr>
      <w:r w:rsidRPr="002C6C2C">
        <w:rPr>
          <w:szCs w:val="22"/>
        </w:rPr>
        <w:t xml:space="preserve">Your tender submission </w:t>
      </w:r>
      <w:r w:rsidRPr="002C6C2C">
        <w:rPr>
          <w:b/>
          <w:szCs w:val="22"/>
        </w:rPr>
        <w:t>must</w:t>
      </w:r>
      <w:r w:rsidRPr="002C6C2C">
        <w:rPr>
          <w:szCs w:val="22"/>
        </w:rPr>
        <w:t xml:space="preserve"> include:</w:t>
      </w:r>
    </w:p>
    <w:p w14:paraId="4F8CD7D2" w14:textId="30CA982A" w:rsidR="00CC19C7" w:rsidRDefault="00CC19C7" w:rsidP="00B33B37">
      <w:pPr>
        <w:pStyle w:val="ListParagraph"/>
        <w:numPr>
          <w:ilvl w:val="1"/>
          <w:numId w:val="4"/>
        </w:numPr>
      </w:pPr>
      <w:bookmarkStart w:id="4" w:name="_Hlk190264250"/>
      <w:bookmarkStart w:id="5" w:name="_Hlk190264996"/>
      <w:r>
        <w:t xml:space="preserve">Experience and ability to meet the scope (weighting </w:t>
      </w:r>
      <w:r w:rsidR="00821E48">
        <w:t>45</w:t>
      </w:r>
      <w:r>
        <w:t>%)</w:t>
      </w:r>
    </w:p>
    <w:p w14:paraId="2651C33E" w14:textId="2D5D4A7D" w:rsidR="000E4C1A" w:rsidRPr="00610E29" w:rsidRDefault="00610E29" w:rsidP="00610E29">
      <w:pPr>
        <w:pStyle w:val="ListParagraph"/>
        <w:numPr>
          <w:ilvl w:val="0"/>
          <w:numId w:val="7"/>
        </w:numPr>
        <w:rPr>
          <w:bCs/>
        </w:rPr>
      </w:pPr>
      <w:r w:rsidRPr="00610E29">
        <w:rPr>
          <w:bCs/>
        </w:rPr>
        <w:t>The contractor must be an appropriately qualified accountant, familiar with the SAGE financial system.</w:t>
      </w:r>
    </w:p>
    <w:p w14:paraId="5FA84CAD" w14:textId="77777777" w:rsidR="000E4C1A" w:rsidRDefault="00821E48" w:rsidP="00610E29">
      <w:pPr>
        <w:pStyle w:val="ListParagraph"/>
        <w:numPr>
          <w:ilvl w:val="0"/>
          <w:numId w:val="7"/>
        </w:numPr>
      </w:pPr>
      <w:r w:rsidRPr="00610E29">
        <w:t>Details of the bidder’s experience relating to similar work</w:t>
      </w:r>
      <w:r w:rsidR="00F51867" w:rsidRPr="00610E29">
        <w:t xml:space="preserve">, including </w:t>
      </w:r>
      <w:r w:rsidR="000E4C1A" w:rsidRPr="00610E29">
        <w:t xml:space="preserve">and working </w:t>
      </w:r>
      <w:r w:rsidR="00F51867" w:rsidRPr="00610E29">
        <w:t xml:space="preserve">knowledge of </w:t>
      </w:r>
      <w:r w:rsidR="000E4C1A" w:rsidRPr="00610E29">
        <w:t>Scottish Public Finance Manual (SPFM) and the Government Financial Reporting Manual (FReM)</w:t>
      </w:r>
      <w:r w:rsidRPr="00610E29">
        <w:t>.</w:t>
      </w:r>
      <w:r w:rsidRPr="007161F4">
        <w:t xml:space="preserve">  </w:t>
      </w:r>
    </w:p>
    <w:p w14:paraId="7084F274" w14:textId="3CE2B0E0" w:rsidR="00821E48" w:rsidRDefault="00821E48" w:rsidP="00610E29">
      <w:pPr>
        <w:pStyle w:val="ListParagraph"/>
        <w:numPr>
          <w:ilvl w:val="0"/>
          <w:numId w:val="7"/>
        </w:numPr>
      </w:pPr>
      <w:r w:rsidRPr="007161F4">
        <w:t>Summaries of relevant work carried out for two clients (with contact details), who would be willing to provide the Ombudsman with a reference.</w:t>
      </w:r>
    </w:p>
    <w:p w14:paraId="2667AFC7" w14:textId="3B66AD43" w:rsidR="00CC19C7" w:rsidRDefault="00325A46" w:rsidP="00610E29">
      <w:pPr>
        <w:pStyle w:val="ListParagraph"/>
        <w:numPr>
          <w:ilvl w:val="0"/>
          <w:numId w:val="7"/>
        </w:numPr>
      </w:pPr>
      <w:r w:rsidRPr="0057298E">
        <w:t xml:space="preserve">This should include the names and size of </w:t>
      </w:r>
      <w:r>
        <w:t xml:space="preserve">two such clients, </w:t>
      </w:r>
      <w:r w:rsidR="000E2E25">
        <w:t>w</w:t>
      </w:r>
      <w:r>
        <w:t xml:space="preserve">here possible, please include a </w:t>
      </w:r>
      <w:r w:rsidR="000E2E25">
        <w:t xml:space="preserve">Scottish </w:t>
      </w:r>
      <w:r>
        <w:t>public service example.</w:t>
      </w:r>
    </w:p>
    <w:bookmarkEnd w:id="4"/>
    <w:p w14:paraId="331D002A" w14:textId="77777777" w:rsidR="00821E48" w:rsidRPr="00325A46" w:rsidRDefault="00821E48" w:rsidP="00B33B37">
      <w:pPr>
        <w:pStyle w:val="ListParagraph"/>
        <w:numPr>
          <w:ilvl w:val="1"/>
          <w:numId w:val="4"/>
        </w:numPr>
        <w:rPr>
          <w:szCs w:val="22"/>
        </w:rPr>
      </w:pPr>
      <w:r w:rsidRPr="00325A46">
        <w:rPr>
          <w:szCs w:val="22"/>
        </w:rPr>
        <w:t>Resourcing arrangements (weighting 10%)</w:t>
      </w:r>
    </w:p>
    <w:p w14:paraId="7A9C0ED7" w14:textId="43A76AD8" w:rsidR="00821E48" w:rsidRPr="002C6C2C" w:rsidRDefault="00821E48" w:rsidP="00821E48">
      <w:pPr>
        <w:pStyle w:val="ListParagraph"/>
        <w:rPr>
          <w:szCs w:val="22"/>
        </w:rPr>
      </w:pPr>
      <w:r w:rsidRPr="00E935B3">
        <w:t xml:space="preserve">Confirmation that we will be dealing </w:t>
      </w:r>
      <w:r w:rsidR="000E4C1A">
        <w:t xml:space="preserve">with a sole provider or </w:t>
      </w:r>
      <w:r w:rsidRPr="00E935B3">
        <w:t xml:space="preserve">one company throughout the duration of the contract.  </w:t>
      </w:r>
      <w:r w:rsidRPr="002C6C2C">
        <w:rPr>
          <w:szCs w:val="22"/>
        </w:rPr>
        <w:t>Describe the personnel / level of resources that will be applied to this contract.  Our expectation is that we will be dealing with a dedicated resource throughout the duration of the contract.</w:t>
      </w:r>
    </w:p>
    <w:p w14:paraId="7EABB0E5" w14:textId="1CFF49F8" w:rsidR="00325A46" w:rsidRPr="002C6C2C" w:rsidRDefault="00325A46" w:rsidP="00B33B37">
      <w:pPr>
        <w:pStyle w:val="ListParagraph"/>
        <w:numPr>
          <w:ilvl w:val="1"/>
          <w:numId w:val="4"/>
        </w:numPr>
        <w:rPr>
          <w:szCs w:val="22"/>
        </w:rPr>
      </w:pPr>
      <w:r w:rsidRPr="002C6C2C">
        <w:rPr>
          <w:szCs w:val="22"/>
        </w:rPr>
        <w:t>Information security processes and procedures (weighting 1</w:t>
      </w:r>
      <w:r w:rsidR="009D229B">
        <w:rPr>
          <w:szCs w:val="22"/>
        </w:rPr>
        <w:t>5</w:t>
      </w:r>
      <w:r w:rsidRPr="002C6C2C">
        <w:rPr>
          <w:szCs w:val="22"/>
        </w:rPr>
        <w:t>%)</w:t>
      </w:r>
    </w:p>
    <w:p w14:paraId="1DAC4A46" w14:textId="2C3A4EC2" w:rsidR="00325A46" w:rsidRDefault="00325A46" w:rsidP="00325A46">
      <w:pPr>
        <w:pStyle w:val="ListParagraph"/>
        <w:rPr>
          <w:szCs w:val="22"/>
        </w:rPr>
      </w:pPr>
      <w:r w:rsidRPr="002C6C2C">
        <w:rPr>
          <w:szCs w:val="22"/>
        </w:rPr>
        <w:t xml:space="preserve">Describe the systems and processes you have in place to ensure that information you process on behalf of the SPSO is kept secure, confidential and is protected from loss or unauthorised access and exploitation taking into account data protection </w:t>
      </w:r>
      <w:r w:rsidR="00610E29" w:rsidRPr="002C6C2C">
        <w:rPr>
          <w:szCs w:val="22"/>
        </w:rPr>
        <w:t xml:space="preserve">legislation </w:t>
      </w:r>
      <w:r w:rsidRPr="002C6C2C">
        <w:rPr>
          <w:szCs w:val="22"/>
        </w:rPr>
        <w:t xml:space="preserve">and </w:t>
      </w:r>
      <w:r w:rsidR="00610E29">
        <w:rPr>
          <w:szCs w:val="22"/>
        </w:rPr>
        <w:t>the communications (access to infrastructure (</w:t>
      </w:r>
      <w:r w:rsidRPr="002C6C2C">
        <w:rPr>
          <w:szCs w:val="22"/>
        </w:rPr>
        <w:t>ATI</w:t>
      </w:r>
      <w:r w:rsidR="00610E29">
        <w:rPr>
          <w:szCs w:val="22"/>
        </w:rPr>
        <w:t>)) regulations</w:t>
      </w:r>
      <w:r w:rsidRPr="002C6C2C">
        <w:rPr>
          <w:szCs w:val="22"/>
        </w:rPr>
        <w:t xml:space="preserve">. </w:t>
      </w:r>
    </w:p>
    <w:p w14:paraId="2378D230" w14:textId="18A15CA8" w:rsidR="00821E48" w:rsidRPr="002C6C2C" w:rsidRDefault="00821E48" w:rsidP="00B33B37">
      <w:pPr>
        <w:pStyle w:val="ListParagraph"/>
        <w:numPr>
          <w:ilvl w:val="1"/>
          <w:numId w:val="4"/>
        </w:numPr>
        <w:rPr>
          <w:szCs w:val="22"/>
        </w:rPr>
      </w:pPr>
      <w:r w:rsidRPr="002C6C2C">
        <w:rPr>
          <w:szCs w:val="22"/>
        </w:rPr>
        <w:t xml:space="preserve">Costs (weighting </w:t>
      </w:r>
      <w:r w:rsidR="009D229B">
        <w:rPr>
          <w:szCs w:val="22"/>
        </w:rPr>
        <w:t>3</w:t>
      </w:r>
      <w:r w:rsidRPr="002C6C2C">
        <w:rPr>
          <w:szCs w:val="22"/>
        </w:rPr>
        <w:t xml:space="preserve">0%) </w:t>
      </w:r>
    </w:p>
    <w:p w14:paraId="6D243A9A" w14:textId="77777777" w:rsidR="00821E48" w:rsidRDefault="00821E48" w:rsidP="00821E48">
      <w:pPr>
        <w:pStyle w:val="ListParagraph"/>
        <w:rPr>
          <w:szCs w:val="22"/>
        </w:rPr>
      </w:pPr>
      <w:r>
        <w:t>All pricing should be submitted in GBP</w:t>
      </w:r>
      <w:r w:rsidRPr="002C6C2C">
        <w:rPr>
          <w:szCs w:val="22"/>
        </w:rPr>
        <w:t>, and include all charges, add-ons and indicate different levels of service</w:t>
      </w:r>
      <w:r>
        <w:t xml:space="preserve">.  Tenders should quote a fixed hourly and a daily rate </w:t>
      </w:r>
      <w:r w:rsidRPr="002C6C2C">
        <w:rPr>
          <w:szCs w:val="22"/>
        </w:rPr>
        <w:t>(based on a seven hour working day)</w:t>
      </w:r>
      <w:r>
        <w:rPr>
          <w:szCs w:val="22"/>
        </w:rPr>
        <w:t xml:space="preserve"> </w:t>
      </w:r>
      <w:r>
        <w:t>for services. VAT should be listed separately.</w:t>
      </w:r>
      <w:r w:rsidRPr="002C6C2C">
        <w:rPr>
          <w:szCs w:val="22"/>
        </w:rPr>
        <w:t xml:space="preserve">  Rates should be fixed for the duration of the contract.</w:t>
      </w:r>
      <w:r>
        <w:rPr>
          <w:szCs w:val="22"/>
        </w:rPr>
        <w:t xml:space="preserve">  </w:t>
      </w:r>
      <w:r w:rsidRPr="00325A46">
        <w:rPr>
          <w:szCs w:val="22"/>
        </w:rPr>
        <w:t xml:space="preserve">Expenses, including overheads, will not be applicable for this work. </w:t>
      </w:r>
    </w:p>
    <w:p w14:paraId="4894D719" w14:textId="77777777" w:rsidR="00325A46" w:rsidRPr="002C6C2C" w:rsidRDefault="00325A46" w:rsidP="00B33B37">
      <w:pPr>
        <w:pStyle w:val="ListParagraph"/>
        <w:numPr>
          <w:ilvl w:val="1"/>
          <w:numId w:val="4"/>
        </w:numPr>
        <w:rPr>
          <w:szCs w:val="22"/>
        </w:rPr>
      </w:pPr>
      <w:r w:rsidRPr="002C6C2C">
        <w:rPr>
          <w:szCs w:val="22"/>
        </w:rPr>
        <w:t xml:space="preserve">Living Wage </w:t>
      </w:r>
      <w:r>
        <w:rPr>
          <w:szCs w:val="22"/>
        </w:rPr>
        <w:t xml:space="preserve">accreditation </w:t>
      </w:r>
      <w:r w:rsidRPr="002C6C2C">
        <w:rPr>
          <w:szCs w:val="22"/>
        </w:rPr>
        <w:t>(yes/</w:t>
      </w:r>
      <w:r>
        <w:rPr>
          <w:szCs w:val="22"/>
        </w:rPr>
        <w:t xml:space="preserve"> </w:t>
      </w:r>
      <w:r w:rsidRPr="002C6C2C">
        <w:rPr>
          <w:szCs w:val="22"/>
        </w:rPr>
        <w:t>no)</w:t>
      </w:r>
    </w:p>
    <w:p w14:paraId="110CB559" w14:textId="77777777" w:rsidR="00325A46" w:rsidRPr="002C6C2C" w:rsidRDefault="00325A46" w:rsidP="00325A46">
      <w:pPr>
        <w:pStyle w:val="ListParagraph"/>
        <w:rPr>
          <w:szCs w:val="22"/>
        </w:rPr>
      </w:pPr>
      <w:r w:rsidRPr="002C6C2C">
        <w:rPr>
          <w:szCs w:val="22"/>
        </w:rPr>
        <w:t>SPSO is an accredited Living Wage Employer, and is committed to encouraging suppliers to pay the Living Wage.  Provide evidence or details of your Living Wage Employer status, or equivalent pay policy in respect of the Living wage, and whether those engaged in delivering this service will be paid the Living Wage.</w:t>
      </w:r>
    </w:p>
    <w:p w14:paraId="2F95D3F3" w14:textId="77777777" w:rsidR="00325A46" w:rsidRPr="002C6C2C" w:rsidRDefault="00325A46" w:rsidP="00B33B37">
      <w:pPr>
        <w:pStyle w:val="ListParagraph"/>
        <w:numPr>
          <w:ilvl w:val="1"/>
          <w:numId w:val="4"/>
        </w:numPr>
        <w:rPr>
          <w:szCs w:val="22"/>
        </w:rPr>
      </w:pPr>
      <w:r w:rsidRPr="002C6C2C">
        <w:rPr>
          <w:szCs w:val="22"/>
        </w:rPr>
        <w:t>The identification of any conflict of interest in providing services to the SPSO (yes/</w:t>
      </w:r>
      <w:r>
        <w:rPr>
          <w:szCs w:val="22"/>
        </w:rPr>
        <w:t xml:space="preserve"> </w:t>
      </w:r>
      <w:r w:rsidRPr="002C6C2C">
        <w:rPr>
          <w:szCs w:val="22"/>
        </w:rPr>
        <w:t>no)</w:t>
      </w:r>
    </w:p>
    <w:p w14:paraId="21F0E918" w14:textId="77777777" w:rsidR="00325A46" w:rsidRPr="002C6C2C" w:rsidRDefault="00325A46" w:rsidP="00B33B37">
      <w:pPr>
        <w:pStyle w:val="ListParagraph"/>
        <w:numPr>
          <w:ilvl w:val="1"/>
          <w:numId w:val="4"/>
        </w:numPr>
        <w:rPr>
          <w:szCs w:val="22"/>
        </w:rPr>
      </w:pPr>
      <w:r w:rsidRPr="002C6C2C">
        <w:rPr>
          <w:szCs w:val="22"/>
        </w:rPr>
        <w:t>Confirmation of Professional Indemnity Insurance and Public Liability Insurance cover your company has in place (yes/</w:t>
      </w:r>
      <w:r>
        <w:rPr>
          <w:szCs w:val="22"/>
        </w:rPr>
        <w:t xml:space="preserve"> </w:t>
      </w:r>
      <w:r w:rsidRPr="002C6C2C">
        <w:rPr>
          <w:szCs w:val="22"/>
        </w:rPr>
        <w:t>no)</w:t>
      </w:r>
    </w:p>
    <w:p w14:paraId="39872262" w14:textId="77777777" w:rsidR="00325A46" w:rsidRPr="002C6C2C" w:rsidRDefault="00325A46" w:rsidP="00B33B37">
      <w:pPr>
        <w:pStyle w:val="ListParagraph"/>
        <w:numPr>
          <w:ilvl w:val="1"/>
          <w:numId w:val="4"/>
        </w:numPr>
        <w:rPr>
          <w:szCs w:val="22"/>
        </w:rPr>
      </w:pPr>
      <w:r w:rsidRPr="002C6C2C">
        <w:rPr>
          <w:szCs w:val="22"/>
        </w:rPr>
        <w:t>Requirement in terms of payment e.g. monthly invoice/payment periods (yes/</w:t>
      </w:r>
      <w:r>
        <w:rPr>
          <w:szCs w:val="22"/>
        </w:rPr>
        <w:t xml:space="preserve"> </w:t>
      </w:r>
      <w:r w:rsidRPr="002C6C2C">
        <w:rPr>
          <w:szCs w:val="22"/>
        </w:rPr>
        <w:t>no)</w:t>
      </w:r>
    </w:p>
    <w:p w14:paraId="4DADBEFC" w14:textId="03EC02DA" w:rsidR="009D229B" w:rsidRDefault="00325A46" w:rsidP="00B33B37">
      <w:pPr>
        <w:pStyle w:val="ListParagraph"/>
        <w:numPr>
          <w:ilvl w:val="1"/>
          <w:numId w:val="4"/>
        </w:numPr>
        <w:rPr>
          <w:szCs w:val="22"/>
        </w:rPr>
      </w:pPr>
      <w:r w:rsidRPr="002C6C2C">
        <w:rPr>
          <w:szCs w:val="22"/>
        </w:rPr>
        <w:t xml:space="preserve">Commitment to sustainability </w:t>
      </w:r>
      <w:r w:rsidR="009D229B" w:rsidRPr="002C6C2C">
        <w:rPr>
          <w:szCs w:val="22"/>
        </w:rPr>
        <w:t>(yes/</w:t>
      </w:r>
      <w:r w:rsidR="009D229B">
        <w:rPr>
          <w:szCs w:val="22"/>
        </w:rPr>
        <w:t xml:space="preserve"> </w:t>
      </w:r>
      <w:r w:rsidR="009D229B" w:rsidRPr="002C6C2C">
        <w:rPr>
          <w:szCs w:val="22"/>
        </w:rPr>
        <w:t>no)</w:t>
      </w:r>
    </w:p>
    <w:p w14:paraId="5B79421B" w14:textId="24628448" w:rsidR="009D229B" w:rsidRPr="009D229B" w:rsidRDefault="00325A46" w:rsidP="009D229B">
      <w:pPr>
        <w:pStyle w:val="ListParagraph"/>
        <w:rPr>
          <w:szCs w:val="22"/>
        </w:rPr>
      </w:pPr>
      <w:r w:rsidRPr="002C6C2C">
        <w:rPr>
          <w:szCs w:val="22"/>
        </w:rPr>
        <w:t>SPSO issues an Environment, Sustainability and Biodiversity report, and submits a Climate Change Duties report annually</w:t>
      </w:r>
      <w:r w:rsidR="009D229B">
        <w:rPr>
          <w:szCs w:val="22"/>
        </w:rPr>
        <w:t>.</w:t>
      </w:r>
      <w:r w:rsidR="009D229B" w:rsidRPr="009D229B">
        <w:rPr>
          <w:szCs w:val="22"/>
        </w:rPr>
        <w:t xml:space="preserve"> </w:t>
      </w:r>
      <w:r w:rsidR="009D229B">
        <w:rPr>
          <w:szCs w:val="22"/>
        </w:rPr>
        <w:t xml:space="preserve"> T</w:t>
      </w:r>
      <w:r w:rsidR="009D229B" w:rsidRPr="002F7AF0">
        <w:rPr>
          <w:szCs w:val="22"/>
        </w:rPr>
        <w:t xml:space="preserve">he successful bidder must </w:t>
      </w:r>
      <w:r w:rsidR="009D229B">
        <w:rPr>
          <w:szCs w:val="22"/>
        </w:rPr>
        <w:t>s</w:t>
      </w:r>
      <w:r w:rsidR="009D229B" w:rsidRPr="002F7AF0">
        <w:rPr>
          <w:szCs w:val="22"/>
        </w:rPr>
        <w:t xml:space="preserve">hare this commitment </w:t>
      </w:r>
      <w:r w:rsidR="009D229B">
        <w:rPr>
          <w:szCs w:val="22"/>
        </w:rPr>
        <w:t>to</w:t>
      </w:r>
      <w:r w:rsidR="009D229B" w:rsidRPr="002F7AF0">
        <w:rPr>
          <w:szCs w:val="22"/>
        </w:rPr>
        <w:t xml:space="preserve"> support environmental sustainability.</w:t>
      </w:r>
    </w:p>
    <w:p w14:paraId="3B09EE5C" w14:textId="1D9ECA1C" w:rsidR="00325A46" w:rsidRPr="009D229B" w:rsidRDefault="00325A46" w:rsidP="009D229B">
      <w:pPr>
        <w:pStyle w:val="ListParagraph"/>
        <w:numPr>
          <w:ilvl w:val="1"/>
          <w:numId w:val="4"/>
        </w:numPr>
        <w:rPr>
          <w:szCs w:val="22"/>
        </w:rPr>
      </w:pPr>
      <w:r w:rsidRPr="002C6C2C">
        <w:rPr>
          <w:szCs w:val="22"/>
        </w:rPr>
        <w:t>The standard terms of the contract regarding termination (yes/</w:t>
      </w:r>
      <w:r>
        <w:rPr>
          <w:szCs w:val="22"/>
        </w:rPr>
        <w:t xml:space="preserve"> </w:t>
      </w:r>
      <w:r w:rsidRPr="002C6C2C">
        <w:rPr>
          <w:szCs w:val="22"/>
        </w:rPr>
        <w:t>no)</w:t>
      </w:r>
      <w:bookmarkEnd w:id="5"/>
    </w:p>
    <w:p w14:paraId="00A12113" w14:textId="77777777" w:rsidR="00CC19C7" w:rsidRDefault="00CC19C7" w:rsidP="00CC19C7"/>
    <w:p w14:paraId="709393DC" w14:textId="77777777" w:rsidR="00CC19C7" w:rsidRPr="00A14928" w:rsidRDefault="00CC19C7" w:rsidP="00CC19C7">
      <w:pPr>
        <w:pStyle w:val="Heading1"/>
      </w:pPr>
      <w:bookmarkStart w:id="6" w:name="_Toc190964786"/>
      <w:r w:rsidRPr="00A14928">
        <w:t>Timetable</w:t>
      </w:r>
      <w:bookmarkEnd w:id="6"/>
    </w:p>
    <w:p w14:paraId="689C5CA6" w14:textId="77777777" w:rsidR="00CC19C7" w:rsidRDefault="00CC19C7" w:rsidP="00B33B37">
      <w:pPr>
        <w:numPr>
          <w:ilvl w:val="0"/>
          <w:numId w:val="4"/>
        </w:numPr>
      </w:pPr>
      <w:r w:rsidRPr="00A14928">
        <w:t>The timetable for this tender process is as follows: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0"/>
        <w:gridCol w:w="3239"/>
      </w:tblGrid>
      <w:tr w:rsidR="00CC19C7" w:rsidRPr="00A14928" w14:paraId="62A29450" w14:textId="77777777" w:rsidTr="00946A41">
        <w:tc>
          <w:tcPr>
            <w:tcW w:w="6190" w:type="dxa"/>
            <w:shd w:val="clear" w:color="auto" w:fill="auto"/>
          </w:tcPr>
          <w:p w14:paraId="519B44B7" w14:textId="77777777" w:rsidR="00CC19C7" w:rsidRPr="00C16ED9" w:rsidRDefault="00CC19C7" w:rsidP="00EF6995">
            <w:pPr>
              <w:spacing w:before="80" w:after="80" w:line="240" w:lineRule="auto"/>
            </w:pPr>
            <w:r w:rsidRPr="00C16ED9">
              <w:t>Invitation to tender issued</w:t>
            </w:r>
          </w:p>
        </w:tc>
        <w:tc>
          <w:tcPr>
            <w:tcW w:w="3239" w:type="dxa"/>
            <w:shd w:val="clear" w:color="auto" w:fill="auto"/>
          </w:tcPr>
          <w:p w14:paraId="4CA7F659" w14:textId="427EFFED" w:rsidR="00CC19C7" w:rsidRPr="00002042" w:rsidRDefault="00946A41" w:rsidP="00EF6995">
            <w:pPr>
              <w:spacing w:before="80" w:after="80" w:line="240" w:lineRule="auto"/>
            </w:pPr>
            <w:r w:rsidRPr="00002042">
              <w:t xml:space="preserve">09:00, </w:t>
            </w:r>
            <w:r w:rsidR="00C1630F" w:rsidRPr="00002042">
              <w:t>Tue 11</w:t>
            </w:r>
            <w:r w:rsidR="00CC19C7" w:rsidRPr="00002042">
              <w:t xml:space="preserve"> </w:t>
            </w:r>
            <w:r w:rsidR="00355DF4" w:rsidRPr="00002042">
              <w:t>Mar</w:t>
            </w:r>
            <w:r w:rsidR="00CC19C7" w:rsidRPr="00002042">
              <w:t xml:space="preserve"> 202</w:t>
            </w:r>
            <w:r w:rsidR="00355DF4" w:rsidRPr="00002042">
              <w:t>5</w:t>
            </w:r>
          </w:p>
        </w:tc>
      </w:tr>
      <w:tr w:rsidR="00CC19C7" w:rsidRPr="00A14928" w14:paraId="0F221317" w14:textId="77777777" w:rsidTr="00946A41">
        <w:tc>
          <w:tcPr>
            <w:tcW w:w="6190" w:type="dxa"/>
            <w:shd w:val="clear" w:color="auto" w:fill="auto"/>
          </w:tcPr>
          <w:p w14:paraId="1220B50E" w14:textId="77777777" w:rsidR="00CC19C7" w:rsidRPr="00C16ED9" w:rsidRDefault="00CC19C7" w:rsidP="00EF6995">
            <w:pPr>
              <w:spacing w:before="80" w:after="80" w:line="240" w:lineRule="auto"/>
            </w:pPr>
            <w:r w:rsidRPr="00C16ED9">
              <w:t>Deadline for submission of tenders</w:t>
            </w:r>
          </w:p>
        </w:tc>
        <w:tc>
          <w:tcPr>
            <w:tcW w:w="3239" w:type="dxa"/>
            <w:shd w:val="clear" w:color="auto" w:fill="auto"/>
          </w:tcPr>
          <w:p w14:paraId="0BCE9475" w14:textId="6D9B6E9B" w:rsidR="00CC19C7" w:rsidRPr="00002042" w:rsidRDefault="00946A41" w:rsidP="00EF6995">
            <w:pPr>
              <w:spacing w:before="80" w:after="80" w:line="240" w:lineRule="auto"/>
              <w:rPr>
                <w:b/>
              </w:rPr>
            </w:pPr>
            <w:r w:rsidRPr="00002042">
              <w:rPr>
                <w:b/>
              </w:rPr>
              <w:t>17:0</w:t>
            </w:r>
            <w:r w:rsidR="00355DF4" w:rsidRPr="00002042">
              <w:rPr>
                <w:b/>
              </w:rPr>
              <w:t xml:space="preserve">0; Fri </w:t>
            </w:r>
            <w:r w:rsidR="00C1630F" w:rsidRPr="00002042">
              <w:rPr>
                <w:b/>
              </w:rPr>
              <w:t>25</w:t>
            </w:r>
            <w:r w:rsidR="00CC19C7" w:rsidRPr="00002042">
              <w:rPr>
                <w:b/>
              </w:rPr>
              <w:t xml:space="preserve"> April 202</w:t>
            </w:r>
            <w:r w:rsidR="00355DF4" w:rsidRPr="00002042">
              <w:rPr>
                <w:b/>
              </w:rPr>
              <w:t>5</w:t>
            </w:r>
          </w:p>
        </w:tc>
      </w:tr>
      <w:tr w:rsidR="00946A41" w:rsidRPr="00A14928" w14:paraId="3AB83735" w14:textId="77777777" w:rsidTr="00946A41">
        <w:tc>
          <w:tcPr>
            <w:tcW w:w="6190" w:type="dxa"/>
            <w:shd w:val="clear" w:color="auto" w:fill="auto"/>
          </w:tcPr>
          <w:p w14:paraId="294310E1" w14:textId="79459842" w:rsidR="00946A41" w:rsidRPr="00C16ED9" w:rsidRDefault="00946A41" w:rsidP="00946A41">
            <w:pPr>
              <w:spacing w:before="80" w:after="80" w:line="240" w:lineRule="auto"/>
            </w:pPr>
            <w:r w:rsidRPr="002C6C2C">
              <w:rPr>
                <w:szCs w:val="22"/>
              </w:rPr>
              <w:t>Evaluate tenders</w:t>
            </w:r>
            <w:r>
              <w:rPr>
                <w:szCs w:val="22"/>
              </w:rPr>
              <w:t xml:space="preserve"> </w:t>
            </w:r>
            <w:r w:rsidRPr="007161F4">
              <w:t>(*clarification enquiries if required)</w:t>
            </w:r>
          </w:p>
        </w:tc>
        <w:tc>
          <w:tcPr>
            <w:tcW w:w="3239" w:type="dxa"/>
            <w:shd w:val="clear" w:color="auto" w:fill="auto"/>
          </w:tcPr>
          <w:p w14:paraId="0CEB5212" w14:textId="77D2850E" w:rsidR="00946A41" w:rsidRPr="00002042" w:rsidRDefault="00946A41" w:rsidP="00946A41">
            <w:pPr>
              <w:spacing w:before="80" w:after="80" w:line="240" w:lineRule="auto"/>
            </w:pPr>
            <w:r w:rsidRPr="00002042">
              <w:t xml:space="preserve">w/c Mon </w:t>
            </w:r>
            <w:r w:rsidR="00FE13EA" w:rsidRPr="00002042">
              <w:t>28</w:t>
            </w:r>
            <w:r w:rsidR="00355DF4" w:rsidRPr="00002042">
              <w:t xml:space="preserve"> April</w:t>
            </w:r>
            <w:r w:rsidRPr="00002042">
              <w:t xml:space="preserve"> 202</w:t>
            </w:r>
            <w:r w:rsidR="00355DF4" w:rsidRPr="00002042">
              <w:t>5</w:t>
            </w:r>
          </w:p>
        </w:tc>
      </w:tr>
      <w:tr w:rsidR="00946A41" w:rsidRPr="00A14928" w14:paraId="61335F24" w14:textId="77777777" w:rsidTr="00946A41">
        <w:tc>
          <w:tcPr>
            <w:tcW w:w="6190" w:type="dxa"/>
            <w:shd w:val="clear" w:color="auto" w:fill="auto"/>
          </w:tcPr>
          <w:p w14:paraId="482ACEB6" w14:textId="3B71BDBC" w:rsidR="00946A41" w:rsidRPr="00C16ED9" w:rsidRDefault="00946A41" w:rsidP="00946A41">
            <w:pPr>
              <w:spacing w:before="80" w:after="80" w:line="240" w:lineRule="auto"/>
            </w:pPr>
            <w:r w:rsidRPr="002C6C2C">
              <w:rPr>
                <w:szCs w:val="22"/>
              </w:rPr>
              <w:t>Interview with short-listed contractors</w:t>
            </w:r>
          </w:p>
        </w:tc>
        <w:tc>
          <w:tcPr>
            <w:tcW w:w="3239" w:type="dxa"/>
            <w:shd w:val="clear" w:color="auto" w:fill="auto"/>
          </w:tcPr>
          <w:p w14:paraId="2D48E985" w14:textId="70351F6C" w:rsidR="00946A41" w:rsidRPr="00002042" w:rsidRDefault="00355DF4" w:rsidP="00946A41">
            <w:pPr>
              <w:spacing w:before="80" w:after="80" w:line="240" w:lineRule="auto"/>
              <w:rPr>
                <w:b/>
              </w:rPr>
            </w:pPr>
            <w:r w:rsidRPr="00002042">
              <w:rPr>
                <w:b/>
              </w:rPr>
              <w:t xml:space="preserve">Wed </w:t>
            </w:r>
            <w:r w:rsidR="00DF44FC" w:rsidRPr="00002042">
              <w:rPr>
                <w:b/>
              </w:rPr>
              <w:t>14</w:t>
            </w:r>
            <w:r w:rsidRPr="00002042">
              <w:rPr>
                <w:b/>
              </w:rPr>
              <w:t xml:space="preserve"> </w:t>
            </w:r>
            <w:r w:rsidR="00946A41" w:rsidRPr="00002042">
              <w:rPr>
                <w:b/>
              </w:rPr>
              <w:t>May 202</w:t>
            </w:r>
            <w:r w:rsidRPr="00002042">
              <w:rPr>
                <w:b/>
              </w:rPr>
              <w:t>5</w:t>
            </w:r>
          </w:p>
        </w:tc>
      </w:tr>
      <w:tr w:rsidR="00946A41" w:rsidRPr="00A14928" w14:paraId="58AF0776" w14:textId="77777777" w:rsidTr="00946A41">
        <w:tc>
          <w:tcPr>
            <w:tcW w:w="6190" w:type="dxa"/>
            <w:shd w:val="clear" w:color="auto" w:fill="auto"/>
          </w:tcPr>
          <w:p w14:paraId="0AD5E164" w14:textId="7CA9FA3E" w:rsidR="00946A41" w:rsidRPr="00C16ED9" w:rsidRDefault="00946A41" w:rsidP="00946A41">
            <w:pPr>
              <w:spacing w:before="80" w:after="80" w:line="240" w:lineRule="auto"/>
            </w:pPr>
            <w:r w:rsidRPr="002C6C2C">
              <w:rPr>
                <w:szCs w:val="22"/>
              </w:rPr>
              <w:t>Appoint supplier (subject to any clarification or verification required by the Ombudsman)</w:t>
            </w:r>
          </w:p>
        </w:tc>
        <w:tc>
          <w:tcPr>
            <w:tcW w:w="3239" w:type="dxa"/>
            <w:shd w:val="clear" w:color="auto" w:fill="auto"/>
          </w:tcPr>
          <w:p w14:paraId="4A346FBA" w14:textId="409D9964" w:rsidR="00946A41" w:rsidRPr="00002042" w:rsidRDefault="00CE5A64" w:rsidP="00946A41">
            <w:pPr>
              <w:spacing w:before="80" w:after="80" w:line="240" w:lineRule="auto"/>
            </w:pPr>
            <w:r w:rsidRPr="00002042">
              <w:t xml:space="preserve">Fri </w:t>
            </w:r>
            <w:r w:rsidR="00DF44FC" w:rsidRPr="00002042">
              <w:t>23</w:t>
            </w:r>
            <w:r w:rsidR="00946A41" w:rsidRPr="00002042">
              <w:t xml:space="preserve"> May 202</w:t>
            </w:r>
            <w:r w:rsidRPr="00002042">
              <w:t>5</w:t>
            </w:r>
          </w:p>
        </w:tc>
      </w:tr>
      <w:tr w:rsidR="00946A41" w:rsidRPr="00A14928" w14:paraId="2028D445" w14:textId="77777777" w:rsidTr="00946A41">
        <w:tc>
          <w:tcPr>
            <w:tcW w:w="6190" w:type="dxa"/>
            <w:shd w:val="clear" w:color="auto" w:fill="auto"/>
          </w:tcPr>
          <w:p w14:paraId="4DBE325A" w14:textId="5709B6E1" w:rsidR="00946A41" w:rsidRPr="00C16ED9" w:rsidRDefault="00946A41" w:rsidP="00946A41">
            <w:pPr>
              <w:spacing w:before="80" w:after="80" w:line="240" w:lineRule="auto"/>
            </w:pPr>
            <w:r w:rsidRPr="002C6C2C">
              <w:rPr>
                <w:szCs w:val="22"/>
              </w:rPr>
              <w:t xml:space="preserve">Contract </w:t>
            </w:r>
            <w:r>
              <w:rPr>
                <w:szCs w:val="22"/>
              </w:rPr>
              <w:t>c</w:t>
            </w:r>
            <w:r w:rsidRPr="002C6C2C">
              <w:rPr>
                <w:szCs w:val="22"/>
              </w:rPr>
              <w:t>ommencement</w:t>
            </w:r>
          </w:p>
        </w:tc>
        <w:tc>
          <w:tcPr>
            <w:tcW w:w="3239" w:type="dxa"/>
            <w:shd w:val="clear" w:color="auto" w:fill="auto"/>
          </w:tcPr>
          <w:p w14:paraId="149E8389" w14:textId="5C356D66" w:rsidR="00946A41" w:rsidRPr="00002042" w:rsidRDefault="00002042" w:rsidP="00946A41">
            <w:pPr>
              <w:spacing w:before="80" w:after="80" w:line="240" w:lineRule="auto"/>
              <w:rPr>
                <w:b/>
              </w:rPr>
            </w:pPr>
            <w:r>
              <w:rPr>
                <w:b/>
              </w:rPr>
              <w:t xml:space="preserve">Mon 30 </w:t>
            </w:r>
            <w:r w:rsidR="00946A41" w:rsidRPr="00002042">
              <w:rPr>
                <w:b/>
              </w:rPr>
              <w:t>June 202</w:t>
            </w:r>
            <w:r w:rsidR="000E2E25" w:rsidRPr="00002042">
              <w:rPr>
                <w:b/>
              </w:rPr>
              <w:t>5</w:t>
            </w:r>
          </w:p>
        </w:tc>
      </w:tr>
    </w:tbl>
    <w:p w14:paraId="59642911" w14:textId="77777777" w:rsidR="00CC19C7" w:rsidRDefault="00CC19C7" w:rsidP="00CC19C7">
      <w:pPr>
        <w:ind w:left="567"/>
      </w:pPr>
    </w:p>
    <w:p w14:paraId="5709791B" w14:textId="77777777" w:rsidR="00946A41" w:rsidRDefault="00946A41" w:rsidP="00B33B37">
      <w:pPr>
        <w:numPr>
          <w:ilvl w:val="0"/>
          <w:numId w:val="4"/>
        </w:numPr>
        <w:rPr>
          <w:szCs w:val="22"/>
        </w:rPr>
      </w:pPr>
      <w:r w:rsidRPr="00AF7A09">
        <w:rPr>
          <w:szCs w:val="22"/>
        </w:rPr>
        <w:t>* Representatives from the panel may undertake, if deemed appropriate, communications with bidders to clarify / verify their tender submissions.  This may be in writing, by video conference, or by phone.  These meetings would not form part of the evaluation process and therefore would not be marked separately but the will be used to validate the scores allocated to your response</w:t>
      </w:r>
    </w:p>
    <w:p w14:paraId="6C8C4E1B" w14:textId="77777777" w:rsidR="001801E4" w:rsidRDefault="001801E4" w:rsidP="00946A41"/>
    <w:p w14:paraId="5D9D5041" w14:textId="1BE1CEFF" w:rsidR="003D62BC" w:rsidRPr="006C7975" w:rsidRDefault="00CC19C7" w:rsidP="003D62BC">
      <w:pPr>
        <w:pStyle w:val="Heading1"/>
        <w:rPr>
          <w:i/>
        </w:rPr>
      </w:pPr>
      <w:bookmarkStart w:id="7" w:name="_Toc190964787"/>
      <w:r>
        <w:t>Submitting</w:t>
      </w:r>
      <w:r w:rsidR="003D62BC" w:rsidRPr="006C7975">
        <w:t xml:space="preserve"> a tender</w:t>
      </w:r>
      <w:bookmarkEnd w:id="7"/>
    </w:p>
    <w:p w14:paraId="279B8D21" w14:textId="77777777" w:rsidR="00CC19C7" w:rsidRPr="002C6C2C" w:rsidRDefault="00CC19C7" w:rsidP="00B33B37">
      <w:pPr>
        <w:numPr>
          <w:ilvl w:val="0"/>
          <w:numId w:val="4"/>
        </w:numPr>
        <w:rPr>
          <w:szCs w:val="22"/>
        </w:rPr>
      </w:pPr>
      <w:r w:rsidRPr="00AF7A09">
        <w:rPr>
          <w:szCs w:val="22"/>
        </w:rPr>
        <w:t>Tenders must be received by the closing date and time noted.  Any response received after that date will not be considered further.</w:t>
      </w:r>
    </w:p>
    <w:p w14:paraId="4EC8EF85" w14:textId="4DB7ED8A" w:rsidR="00946A41" w:rsidRDefault="003D62BC" w:rsidP="00B33B37">
      <w:pPr>
        <w:numPr>
          <w:ilvl w:val="0"/>
          <w:numId w:val="4"/>
        </w:numPr>
      </w:pPr>
      <w:r w:rsidRPr="006C7975">
        <w:t xml:space="preserve">A full response to this tender must be </w:t>
      </w:r>
      <w:r w:rsidR="00CC19C7" w:rsidRPr="00CC19C7">
        <w:rPr>
          <w:szCs w:val="22"/>
        </w:rPr>
        <w:t xml:space="preserve">clearly marked ‘RESPONSE to </w:t>
      </w:r>
      <w:r w:rsidR="009D229B">
        <w:rPr>
          <w:szCs w:val="22"/>
        </w:rPr>
        <w:t>Accountant</w:t>
      </w:r>
      <w:r w:rsidR="00CC19C7" w:rsidRPr="00CC19C7">
        <w:rPr>
          <w:szCs w:val="22"/>
        </w:rPr>
        <w:t xml:space="preserve"> Services Tender’ to ensure the contents are not opened before the deadline, and emailed to </w:t>
      </w:r>
      <w:r w:rsidR="00946A41">
        <w:rPr>
          <w:szCs w:val="22"/>
        </w:rPr>
        <w:t xml:space="preserve">the </w:t>
      </w:r>
      <w:r w:rsidR="009D229B">
        <w:t xml:space="preserve">Corporate Services </w:t>
      </w:r>
      <w:r w:rsidR="00E935B3">
        <w:t>Manager at</w:t>
      </w:r>
      <w:r w:rsidR="00946A41">
        <w:t xml:space="preserve"> </w:t>
      </w:r>
      <w:r w:rsidR="009D229B" w:rsidRPr="009D229B">
        <w:rPr>
          <w:b/>
          <w:bCs/>
          <w:i/>
        </w:rPr>
        <w:t>Fiona.</w:t>
      </w:r>
      <w:r w:rsidR="009D229B">
        <w:rPr>
          <w:b/>
          <w:bCs/>
          <w:i/>
        </w:rPr>
        <w:t>Paterson@spso.gov.scot</w:t>
      </w:r>
    </w:p>
    <w:p w14:paraId="56D93180" w14:textId="73BEFC26" w:rsidR="00946A41" w:rsidRDefault="00946A41" w:rsidP="00B33B37">
      <w:pPr>
        <w:numPr>
          <w:ilvl w:val="0"/>
          <w:numId w:val="4"/>
        </w:numPr>
      </w:pPr>
      <w:r w:rsidRPr="006C7975">
        <w:t xml:space="preserve">Any questions or requests for clarification may be emailed </w:t>
      </w:r>
      <w:r w:rsidRPr="002C6C2C">
        <w:rPr>
          <w:szCs w:val="22"/>
        </w:rPr>
        <w:t xml:space="preserve">in good time to meet the submission deadline.  Your email must be clearly titled </w:t>
      </w:r>
      <w:r>
        <w:rPr>
          <w:szCs w:val="22"/>
        </w:rPr>
        <w:t>‘</w:t>
      </w:r>
      <w:r w:rsidRPr="006C7975">
        <w:t xml:space="preserve">ENQUIRY about </w:t>
      </w:r>
      <w:r w:rsidR="009D229B">
        <w:t xml:space="preserve">Accountant </w:t>
      </w:r>
      <w:r>
        <w:t>Services</w:t>
      </w:r>
      <w:r w:rsidRPr="006C7975">
        <w:t xml:space="preserve"> tender</w:t>
      </w:r>
      <w:r>
        <w:t>’</w:t>
      </w:r>
      <w:r w:rsidRPr="006C7975">
        <w:t>.</w:t>
      </w:r>
    </w:p>
    <w:p w14:paraId="4FB65790" w14:textId="77777777" w:rsidR="003D62BC" w:rsidRDefault="003D62BC" w:rsidP="003D62BC">
      <w:pPr>
        <w:ind w:left="567"/>
      </w:pPr>
    </w:p>
    <w:p w14:paraId="214A05EF" w14:textId="77777777" w:rsidR="003D62BC" w:rsidRDefault="003D62BC" w:rsidP="003D62BC">
      <w:pPr>
        <w:pStyle w:val="Heading1"/>
      </w:pPr>
      <w:bookmarkStart w:id="8" w:name="_Toc190964788"/>
      <w:r>
        <w:t>Assessment of tenders</w:t>
      </w:r>
      <w:bookmarkEnd w:id="8"/>
    </w:p>
    <w:p w14:paraId="7C23DE04" w14:textId="77777777" w:rsidR="00946A41" w:rsidRPr="002C6C2C" w:rsidRDefault="003D62BC" w:rsidP="00B33B37">
      <w:pPr>
        <w:numPr>
          <w:ilvl w:val="0"/>
          <w:numId w:val="4"/>
        </w:numPr>
        <w:rPr>
          <w:szCs w:val="22"/>
        </w:rPr>
      </w:pPr>
      <w:r>
        <w:t>The assessment of tenders will be undertaken by an evaluation panel</w:t>
      </w:r>
      <w:r w:rsidR="00E935B3">
        <w:t xml:space="preserve">.  </w:t>
      </w:r>
      <w:r w:rsidR="00946A41" w:rsidRPr="002C6C2C">
        <w:rPr>
          <w:szCs w:val="22"/>
        </w:rPr>
        <w:t xml:space="preserve">The panel will consider all tenders against the requirements set out in this invitation and will make a decision on the basis of how closely tenders meet the requirements.  </w:t>
      </w:r>
    </w:p>
    <w:p w14:paraId="63606EA0" w14:textId="77777777" w:rsidR="00946A41" w:rsidRDefault="00946A41" w:rsidP="00B33B37">
      <w:pPr>
        <w:numPr>
          <w:ilvl w:val="0"/>
          <w:numId w:val="4"/>
        </w:numPr>
        <w:rPr>
          <w:szCs w:val="22"/>
        </w:rPr>
      </w:pPr>
      <w:r w:rsidRPr="00BF1B18">
        <w:rPr>
          <w:szCs w:val="22"/>
        </w:rPr>
        <w:t>If a tender does not substantially conform to the tender requirements it will not be considered further, in particular, any submission with a score of zero against an essential functional requirement will be rejected.</w:t>
      </w:r>
    </w:p>
    <w:p w14:paraId="56FA5E1E" w14:textId="77777777" w:rsidR="00946A41" w:rsidRDefault="00946A41" w:rsidP="00B33B37">
      <w:pPr>
        <w:numPr>
          <w:ilvl w:val="0"/>
          <w:numId w:val="4"/>
        </w:numPr>
        <w:rPr>
          <w:szCs w:val="22"/>
        </w:rPr>
      </w:pPr>
      <w:r w:rsidRPr="00BF1B18">
        <w:rPr>
          <w:szCs w:val="22"/>
        </w:rPr>
        <w:t>The following requirements will be scored and weighted to give each submission a score out of 100% as follows:</w:t>
      </w:r>
    </w:p>
    <w:tbl>
      <w:tblPr>
        <w:tblW w:w="871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6583"/>
        <w:gridCol w:w="1066"/>
        <w:gridCol w:w="606"/>
      </w:tblGrid>
      <w:tr w:rsidR="00821E48" w:rsidRPr="002C6C2C" w14:paraId="1C659721" w14:textId="3C135B39" w:rsidTr="000E2E25">
        <w:trPr>
          <w:trHeight w:val="300"/>
        </w:trPr>
        <w:tc>
          <w:tcPr>
            <w:tcW w:w="460" w:type="dxa"/>
          </w:tcPr>
          <w:p w14:paraId="799F9BEE" w14:textId="77777777" w:rsidR="00821E48" w:rsidRPr="002C6C2C" w:rsidRDefault="00821E48" w:rsidP="00EF6995">
            <w:pPr>
              <w:spacing w:before="60" w:after="60" w:line="240" w:lineRule="auto"/>
              <w:rPr>
                <w:szCs w:val="22"/>
              </w:rPr>
            </w:pPr>
            <w:r w:rsidRPr="002C6C2C">
              <w:rPr>
                <w:szCs w:val="22"/>
              </w:rPr>
              <w:t>1</w:t>
            </w:r>
          </w:p>
        </w:tc>
        <w:tc>
          <w:tcPr>
            <w:tcW w:w="6583" w:type="dxa"/>
            <w:shd w:val="clear" w:color="auto" w:fill="auto"/>
            <w:noWrap/>
            <w:vAlign w:val="bottom"/>
          </w:tcPr>
          <w:p w14:paraId="7B2DF7F0" w14:textId="02A578CC" w:rsidR="00821E48" w:rsidRPr="002C6C2C" w:rsidRDefault="00821E48" w:rsidP="00EF6995">
            <w:pPr>
              <w:spacing w:before="60" w:after="60" w:line="240" w:lineRule="auto"/>
              <w:rPr>
                <w:szCs w:val="22"/>
              </w:rPr>
            </w:pPr>
            <w:r w:rsidRPr="002C6C2C">
              <w:rPr>
                <w:szCs w:val="22"/>
              </w:rPr>
              <w:t xml:space="preserve">Experience of similar work including </w:t>
            </w:r>
            <w:r>
              <w:rPr>
                <w:szCs w:val="22"/>
              </w:rPr>
              <w:t>two</w:t>
            </w:r>
            <w:r w:rsidRPr="002C6C2C">
              <w:rPr>
                <w:szCs w:val="22"/>
              </w:rPr>
              <w:t xml:space="preserve"> references.  </w:t>
            </w:r>
          </w:p>
        </w:tc>
        <w:tc>
          <w:tcPr>
            <w:tcW w:w="1066" w:type="dxa"/>
            <w:shd w:val="clear" w:color="auto" w:fill="auto"/>
            <w:noWrap/>
            <w:vAlign w:val="center"/>
          </w:tcPr>
          <w:p w14:paraId="2D8DA368" w14:textId="0B030F02" w:rsidR="00821E48" w:rsidRPr="002C6C2C" w:rsidRDefault="009D229B" w:rsidP="00EF6995">
            <w:pPr>
              <w:spacing w:before="60" w:after="60" w:line="240" w:lineRule="auto"/>
              <w:jc w:val="center"/>
              <w:rPr>
                <w:szCs w:val="22"/>
              </w:rPr>
            </w:pPr>
            <w:r>
              <w:rPr>
                <w:szCs w:val="22"/>
              </w:rPr>
              <w:t>45</w:t>
            </w:r>
            <w:r w:rsidR="00821E48" w:rsidRPr="002C6C2C">
              <w:rPr>
                <w:szCs w:val="22"/>
              </w:rPr>
              <w:t>%</w:t>
            </w:r>
          </w:p>
        </w:tc>
        <w:tc>
          <w:tcPr>
            <w:tcW w:w="607" w:type="dxa"/>
          </w:tcPr>
          <w:p w14:paraId="4D9F6BE7" w14:textId="5C5CEDD9" w:rsidR="00821E48" w:rsidRPr="002C6C2C" w:rsidRDefault="009D229B" w:rsidP="00EF6995">
            <w:pPr>
              <w:spacing w:before="60" w:after="60" w:line="240" w:lineRule="auto"/>
              <w:jc w:val="center"/>
              <w:rPr>
                <w:szCs w:val="22"/>
              </w:rPr>
            </w:pPr>
            <w:r>
              <w:rPr>
                <w:szCs w:val="22"/>
              </w:rPr>
              <w:t>X9</w:t>
            </w:r>
          </w:p>
        </w:tc>
      </w:tr>
      <w:tr w:rsidR="00821E48" w:rsidRPr="002C6C2C" w14:paraId="5C51ECEF" w14:textId="688BE8BA" w:rsidTr="000E2E25">
        <w:trPr>
          <w:trHeight w:val="300"/>
        </w:trPr>
        <w:tc>
          <w:tcPr>
            <w:tcW w:w="460" w:type="dxa"/>
          </w:tcPr>
          <w:p w14:paraId="025F1438" w14:textId="5C6BDDE3" w:rsidR="00821E48" w:rsidRPr="002C6C2C" w:rsidRDefault="000E2E25" w:rsidP="00821E48">
            <w:pPr>
              <w:spacing w:before="60" w:after="60" w:line="240" w:lineRule="auto"/>
              <w:rPr>
                <w:szCs w:val="22"/>
              </w:rPr>
            </w:pPr>
            <w:r>
              <w:rPr>
                <w:szCs w:val="22"/>
              </w:rPr>
              <w:t>2</w:t>
            </w:r>
          </w:p>
        </w:tc>
        <w:tc>
          <w:tcPr>
            <w:tcW w:w="6583" w:type="dxa"/>
            <w:shd w:val="clear" w:color="auto" w:fill="auto"/>
            <w:noWrap/>
            <w:vAlign w:val="bottom"/>
          </w:tcPr>
          <w:p w14:paraId="14974F3C" w14:textId="10E45246" w:rsidR="00821E48" w:rsidRPr="002C6C2C" w:rsidRDefault="00821E48" w:rsidP="00821E48">
            <w:pPr>
              <w:spacing w:before="60" w:after="60" w:line="240" w:lineRule="auto"/>
              <w:rPr>
                <w:szCs w:val="22"/>
              </w:rPr>
            </w:pPr>
            <w:r w:rsidRPr="002C6C2C">
              <w:rPr>
                <w:szCs w:val="22"/>
              </w:rPr>
              <w:t>Resourcing arrangements</w:t>
            </w:r>
          </w:p>
        </w:tc>
        <w:tc>
          <w:tcPr>
            <w:tcW w:w="1066" w:type="dxa"/>
            <w:shd w:val="clear" w:color="auto" w:fill="auto"/>
            <w:noWrap/>
            <w:vAlign w:val="center"/>
          </w:tcPr>
          <w:p w14:paraId="0BC76EB2" w14:textId="65F1E34C" w:rsidR="00821E48" w:rsidRPr="002C6C2C" w:rsidRDefault="00821E48" w:rsidP="00821E48">
            <w:pPr>
              <w:spacing w:before="60" w:after="60" w:line="240" w:lineRule="auto"/>
              <w:jc w:val="center"/>
              <w:rPr>
                <w:szCs w:val="22"/>
              </w:rPr>
            </w:pPr>
            <w:r w:rsidRPr="002C6C2C">
              <w:rPr>
                <w:szCs w:val="22"/>
              </w:rPr>
              <w:t>10%</w:t>
            </w:r>
          </w:p>
        </w:tc>
        <w:tc>
          <w:tcPr>
            <w:tcW w:w="607" w:type="dxa"/>
          </w:tcPr>
          <w:p w14:paraId="5A6C083B" w14:textId="092EA96F" w:rsidR="00821E48" w:rsidRDefault="00821E48" w:rsidP="00821E48">
            <w:pPr>
              <w:spacing w:before="60" w:after="60" w:line="240" w:lineRule="auto"/>
              <w:jc w:val="center"/>
              <w:rPr>
                <w:szCs w:val="22"/>
              </w:rPr>
            </w:pPr>
            <w:r>
              <w:rPr>
                <w:szCs w:val="22"/>
              </w:rPr>
              <w:t>x2</w:t>
            </w:r>
          </w:p>
        </w:tc>
      </w:tr>
      <w:tr w:rsidR="00821E48" w:rsidRPr="002C6C2C" w14:paraId="247BF5AE" w14:textId="7D84960C" w:rsidTr="000E2E25">
        <w:trPr>
          <w:trHeight w:val="300"/>
        </w:trPr>
        <w:tc>
          <w:tcPr>
            <w:tcW w:w="460" w:type="dxa"/>
          </w:tcPr>
          <w:p w14:paraId="1B1DB3AF" w14:textId="698388DA" w:rsidR="00821E48" w:rsidRPr="002C6C2C" w:rsidRDefault="000E2E25" w:rsidP="00821E48">
            <w:pPr>
              <w:spacing w:before="60" w:after="60" w:line="240" w:lineRule="auto"/>
              <w:rPr>
                <w:szCs w:val="22"/>
              </w:rPr>
            </w:pPr>
            <w:r>
              <w:rPr>
                <w:szCs w:val="22"/>
              </w:rPr>
              <w:t>3</w:t>
            </w:r>
          </w:p>
        </w:tc>
        <w:tc>
          <w:tcPr>
            <w:tcW w:w="6583" w:type="dxa"/>
            <w:shd w:val="clear" w:color="auto" w:fill="auto"/>
            <w:noWrap/>
            <w:vAlign w:val="bottom"/>
          </w:tcPr>
          <w:p w14:paraId="5D8304FB" w14:textId="10BC066C" w:rsidR="00821E48" w:rsidRPr="002C6C2C" w:rsidRDefault="00821E48" w:rsidP="00821E48">
            <w:pPr>
              <w:spacing w:before="60" w:after="60" w:line="240" w:lineRule="auto"/>
              <w:rPr>
                <w:szCs w:val="22"/>
              </w:rPr>
            </w:pPr>
            <w:r w:rsidRPr="002C6C2C">
              <w:rPr>
                <w:szCs w:val="22"/>
              </w:rPr>
              <w:t>Information security processes and procedures</w:t>
            </w:r>
          </w:p>
        </w:tc>
        <w:tc>
          <w:tcPr>
            <w:tcW w:w="1066" w:type="dxa"/>
            <w:shd w:val="clear" w:color="auto" w:fill="auto"/>
            <w:noWrap/>
            <w:vAlign w:val="center"/>
          </w:tcPr>
          <w:p w14:paraId="06630B2C" w14:textId="4D63906F" w:rsidR="00821E48" w:rsidRPr="002C6C2C" w:rsidRDefault="00821E48" w:rsidP="00821E48">
            <w:pPr>
              <w:spacing w:before="60" w:after="60" w:line="240" w:lineRule="auto"/>
              <w:jc w:val="center"/>
              <w:rPr>
                <w:szCs w:val="22"/>
              </w:rPr>
            </w:pPr>
            <w:r w:rsidRPr="002C6C2C">
              <w:rPr>
                <w:szCs w:val="22"/>
              </w:rPr>
              <w:t>1</w:t>
            </w:r>
            <w:r w:rsidR="009D229B">
              <w:rPr>
                <w:szCs w:val="22"/>
              </w:rPr>
              <w:t>5</w:t>
            </w:r>
            <w:r w:rsidRPr="002C6C2C">
              <w:rPr>
                <w:szCs w:val="22"/>
              </w:rPr>
              <w:t>%</w:t>
            </w:r>
          </w:p>
        </w:tc>
        <w:tc>
          <w:tcPr>
            <w:tcW w:w="607" w:type="dxa"/>
          </w:tcPr>
          <w:p w14:paraId="627D49A9" w14:textId="2187EF7F" w:rsidR="00821E48" w:rsidRPr="002C6C2C" w:rsidRDefault="009D229B" w:rsidP="00821E48">
            <w:pPr>
              <w:spacing w:before="60" w:after="60" w:line="240" w:lineRule="auto"/>
              <w:jc w:val="center"/>
              <w:rPr>
                <w:szCs w:val="22"/>
              </w:rPr>
            </w:pPr>
            <w:r>
              <w:rPr>
                <w:szCs w:val="22"/>
              </w:rPr>
              <w:t>X3</w:t>
            </w:r>
          </w:p>
        </w:tc>
      </w:tr>
      <w:tr w:rsidR="00821E48" w:rsidRPr="002C6C2C" w14:paraId="5F4E9DA0" w14:textId="7B7FC99C" w:rsidTr="000E2E25">
        <w:trPr>
          <w:trHeight w:val="300"/>
        </w:trPr>
        <w:tc>
          <w:tcPr>
            <w:tcW w:w="460" w:type="dxa"/>
          </w:tcPr>
          <w:p w14:paraId="410D8462" w14:textId="37DCC45C" w:rsidR="00821E48" w:rsidRPr="002C6C2C" w:rsidRDefault="000E2E25" w:rsidP="00821E48">
            <w:pPr>
              <w:spacing w:before="60" w:after="60" w:line="240" w:lineRule="auto"/>
              <w:rPr>
                <w:szCs w:val="22"/>
              </w:rPr>
            </w:pPr>
            <w:r>
              <w:rPr>
                <w:szCs w:val="22"/>
              </w:rPr>
              <w:t>4</w:t>
            </w:r>
          </w:p>
        </w:tc>
        <w:tc>
          <w:tcPr>
            <w:tcW w:w="6583" w:type="dxa"/>
            <w:shd w:val="clear" w:color="auto" w:fill="auto"/>
            <w:noWrap/>
            <w:vAlign w:val="bottom"/>
          </w:tcPr>
          <w:p w14:paraId="3E9C6850" w14:textId="048C3E62" w:rsidR="00821E48" w:rsidRPr="002C6C2C" w:rsidRDefault="00821E48" w:rsidP="00821E48">
            <w:pPr>
              <w:spacing w:before="60" w:after="60" w:line="240" w:lineRule="auto"/>
              <w:rPr>
                <w:szCs w:val="22"/>
              </w:rPr>
            </w:pPr>
            <w:r w:rsidRPr="002C6C2C">
              <w:rPr>
                <w:szCs w:val="22"/>
              </w:rPr>
              <w:t>Breakdown of costs with VAT</w:t>
            </w:r>
          </w:p>
        </w:tc>
        <w:tc>
          <w:tcPr>
            <w:tcW w:w="1066" w:type="dxa"/>
            <w:shd w:val="clear" w:color="auto" w:fill="auto"/>
            <w:noWrap/>
            <w:vAlign w:val="center"/>
          </w:tcPr>
          <w:p w14:paraId="115A8E32" w14:textId="6F782C47" w:rsidR="00821E48" w:rsidRPr="002C6C2C" w:rsidRDefault="000E2E25" w:rsidP="00821E48">
            <w:pPr>
              <w:spacing w:before="60" w:after="60" w:line="240" w:lineRule="auto"/>
              <w:jc w:val="center"/>
              <w:rPr>
                <w:szCs w:val="22"/>
              </w:rPr>
            </w:pPr>
            <w:r>
              <w:rPr>
                <w:szCs w:val="22"/>
              </w:rPr>
              <w:t>3</w:t>
            </w:r>
            <w:r w:rsidR="00821E48" w:rsidRPr="002C6C2C">
              <w:rPr>
                <w:szCs w:val="22"/>
              </w:rPr>
              <w:t>0%</w:t>
            </w:r>
          </w:p>
        </w:tc>
        <w:tc>
          <w:tcPr>
            <w:tcW w:w="607" w:type="dxa"/>
          </w:tcPr>
          <w:p w14:paraId="7066511E" w14:textId="17D66EA7" w:rsidR="00821E48" w:rsidRPr="002C6C2C" w:rsidRDefault="00821E48" w:rsidP="00821E48">
            <w:pPr>
              <w:spacing w:before="60" w:after="60" w:line="240" w:lineRule="auto"/>
              <w:jc w:val="center"/>
              <w:rPr>
                <w:szCs w:val="22"/>
              </w:rPr>
            </w:pPr>
            <w:r>
              <w:rPr>
                <w:szCs w:val="22"/>
              </w:rPr>
              <w:t>x4</w:t>
            </w:r>
          </w:p>
        </w:tc>
      </w:tr>
      <w:tr w:rsidR="00821E48" w:rsidRPr="002C6C2C" w14:paraId="56AB3BBB" w14:textId="2042D806" w:rsidTr="000E2E25">
        <w:trPr>
          <w:trHeight w:val="300"/>
        </w:trPr>
        <w:tc>
          <w:tcPr>
            <w:tcW w:w="460" w:type="dxa"/>
          </w:tcPr>
          <w:p w14:paraId="2B50D179" w14:textId="434D8D13" w:rsidR="00821E48" w:rsidRPr="002C6C2C" w:rsidRDefault="000E2E25" w:rsidP="00821E48">
            <w:pPr>
              <w:spacing w:before="60" w:after="60" w:line="240" w:lineRule="auto"/>
              <w:rPr>
                <w:szCs w:val="22"/>
              </w:rPr>
            </w:pPr>
            <w:r>
              <w:rPr>
                <w:szCs w:val="22"/>
              </w:rPr>
              <w:t>5</w:t>
            </w:r>
          </w:p>
        </w:tc>
        <w:tc>
          <w:tcPr>
            <w:tcW w:w="6583" w:type="dxa"/>
            <w:shd w:val="clear" w:color="auto" w:fill="auto"/>
            <w:noWrap/>
            <w:vAlign w:val="bottom"/>
            <w:hideMark/>
          </w:tcPr>
          <w:p w14:paraId="5680C6DA" w14:textId="77777777" w:rsidR="00821E48" w:rsidRPr="002C6C2C" w:rsidRDefault="00821E48" w:rsidP="00821E48">
            <w:pPr>
              <w:spacing w:before="60" w:after="60" w:line="240" w:lineRule="auto"/>
              <w:rPr>
                <w:szCs w:val="22"/>
              </w:rPr>
            </w:pPr>
            <w:r w:rsidRPr="002C6C2C">
              <w:rPr>
                <w:szCs w:val="22"/>
              </w:rPr>
              <w:t>Evidence of Living Wage accreditation, or equivalent</w:t>
            </w:r>
          </w:p>
        </w:tc>
        <w:tc>
          <w:tcPr>
            <w:tcW w:w="1066" w:type="dxa"/>
            <w:noWrap/>
            <w:vAlign w:val="center"/>
            <w:hideMark/>
          </w:tcPr>
          <w:p w14:paraId="2559865E" w14:textId="1F67C0D6" w:rsidR="00821E48" w:rsidRPr="002C6C2C" w:rsidRDefault="00821E48" w:rsidP="00821E48">
            <w:pPr>
              <w:spacing w:before="60" w:after="60" w:line="240" w:lineRule="auto"/>
              <w:jc w:val="center"/>
              <w:rPr>
                <w:szCs w:val="22"/>
              </w:rPr>
            </w:pPr>
            <w:r w:rsidRPr="002C6C2C">
              <w:rPr>
                <w:szCs w:val="22"/>
              </w:rPr>
              <w:t>Yes/No</w:t>
            </w:r>
          </w:p>
        </w:tc>
        <w:tc>
          <w:tcPr>
            <w:tcW w:w="607" w:type="dxa"/>
          </w:tcPr>
          <w:p w14:paraId="3F6615DA" w14:textId="77777777" w:rsidR="00821E48" w:rsidRPr="002C6C2C" w:rsidRDefault="00821E48" w:rsidP="00821E48">
            <w:pPr>
              <w:spacing w:before="60" w:after="60" w:line="240" w:lineRule="auto"/>
              <w:jc w:val="center"/>
              <w:rPr>
                <w:szCs w:val="22"/>
              </w:rPr>
            </w:pPr>
          </w:p>
        </w:tc>
      </w:tr>
      <w:tr w:rsidR="00821E48" w:rsidRPr="002C6C2C" w14:paraId="2A259DFD" w14:textId="4A612476" w:rsidTr="000E2E25">
        <w:trPr>
          <w:trHeight w:val="300"/>
        </w:trPr>
        <w:tc>
          <w:tcPr>
            <w:tcW w:w="460" w:type="dxa"/>
          </w:tcPr>
          <w:p w14:paraId="021F572B" w14:textId="7C54DCD3" w:rsidR="00821E48" w:rsidRPr="002C6C2C" w:rsidRDefault="000E2E25" w:rsidP="00821E48">
            <w:pPr>
              <w:spacing w:before="60" w:after="60" w:line="240" w:lineRule="auto"/>
              <w:rPr>
                <w:szCs w:val="22"/>
              </w:rPr>
            </w:pPr>
            <w:r>
              <w:rPr>
                <w:szCs w:val="22"/>
              </w:rPr>
              <w:t>6</w:t>
            </w:r>
          </w:p>
        </w:tc>
        <w:tc>
          <w:tcPr>
            <w:tcW w:w="6583" w:type="dxa"/>
            <w:shd w:val="clear" w:color="auto" w:fill="auto"/>
            <w:noWrap/>
            <w:vAlign w:val="bottom"/>
          </w:tcPr>
          <w:p w14:paraId="075FC51F" w14:textId="77777777" w:rsidR="00821E48" w:rsidRPr="002C6C2C" w:rsidRDefault="00821E48" w:rsidP="00821E48">
            <w:pPr>
              <w:spacing w:before="60" w:after="60" w:line="240" w:lineRule="auto"/>
              <w:rPr>
                <w:szCs w:val="22"/>
              </w:rPr>
            </w:pPr>
            <w:r w:rsidRPr="002C6C2C">
              <w:rPr>
                <w:szCs w:val="22"/>
              </w:rPr>
              <w:t>Conflicts of Interest</w:t>
            </w:r>
          </w:p>
        </w:tc>
        <w:tc>
          <w:tcPr>
            <w:tcW w:w="1066" w:type="dxa"/>
            <w:noWrap/>
            <w:vAlign w:val="center"/>
          </w:tcPr>
          <w:p w14:paraId="0019E818" w14:textId="24617DC3" w:rsidR="00821E48" w:rsidRPr="002C6C2C" w:rsidRDefault="00821E48" w:rsidP="00821E48">
            <w:pPr>
              <w:spacing w:before="60" w:after="60" w:line="240" w:lineRule="auto"/>
              <w:jc w:val="center"/>
              <w:rPr>
                <w:szCs w:val="22"/>
              </w:rPr>
            </w:pPr>
            <w:r w:rsidRPr="002C6C2C">
              <w:rPr>
                <w:szCs w:val="22"/>
              </w:rPr>
              <w:t>Yes/No</w:t>
            </w:r>
          </w:p>
        </w:tc>
        <w:tc>
          <w:tcPr>
            <w:tcW w:w="607" w:type="dxa"/>
          </w:tcPr>
          <w:p w14:paraId="0BC09BA9" w14:textId="77777777" w:rsidR="00821E48" w:rsidRPr="002C6C2C" w:rsidRDefault="00821E48" w:rsidP="00821E48">
            <w:pPr>
              <w:spacing w:before="60" w:after="60" w:line="240" w:lineRule="auto"/>
              <w:jc w:val="center"/>
              <w:rPr>
                <w:szCs w:val="22"/>
              </w:rPr>
            </w:pPr>
          </w:p>
        </w:tc>
      </w:tr>
      <w:tr w:rsidR="00821E48" w:rsidRPr="002C6C2C" w14:paraId="75CE14A2" w14:textId="77205F3C" w:rsidTr="000E2E25">
        <w:trPr>
          <w:trHeight w:val="300"/>
        </w:trPr>
        <w:tc>
          <w:tcPr>
            <w:tcW w:w="460" w:type="dxa"/>
          </w:tcPr>
          <w:p w14:paraId="002ACCC1" w14:textId="4ACBF391" w:rsidR="00821E48" w:rsidRPr="002C6C2C" w:rsidRDefault="000E2E25" w:rsidP="00821E48">
            <w:pPr>
              <w:spacing w:before="60" w:after="60" w:line="240" w:lineRule="auto"/>
              <w:rPr>
                <w:szCs w:val="22"/>
              </w:rPr>
            </w:pPr>
            <w:r>
              <w:rPr>
                <w:szCs w:val="22"/>
              </w:rPr>
              <w:t>7</w:t>
            </w:r>
          </w:p>
        </w:tc>
        <w:tc>
          <w:tcPr>
            <w:tcW w:w="6583" w:type="dxa"/>
            <w:shd w:val="clear" w:color="auto" w:fill="auto"/>
            <w:noWrap/>
            <w:vAlign w:val="bottom"/>
          </w:tcPr>
          <w:p w14:paraId="04FDB36D" w14:textId="77777777" w:rsidR="00821E48" w:rsidRPr="002C6C2C" w:rsidRDefault="00821E48" w:rsidP="00821E48">
            <w:pPr>
              <w:spacing w:before="60" w:after="60" w:line="240" w:lineRule="auto"/>
              <w:rPr>
                <w:szCs w:val="22"/>
              </w:rPr>
            </w:pPr>
            <w:r w:rsidRPr="002C6C2C">
              <w:rPr>
                <w:szCs w:val="22"/>
              </w:rPr>
              <w:t>Professional indemnity / liability</w:t>
            </w:r>
          </w:p>
        </w:tc>
        <w:tc>
          <w:tcPr>
            <w:tcW w:w="1066" w:type="dxa"/>
            <w:noWrap/>
            <w:vAlign w:val="center"/>
          </w:tcPr>
          <w:p w14:paraId="13D90FA1" w14:textId="03548661" w:rsidR="00821E48" w:rsidRPr="002C6C2C" w:rsidRDefault="00821E48" w:rsidP="00821E48">
            <w:pPr>
              <w:spacing w:before="60" w:after="60" w:line="240" w:lineRule="auto"/>
              <w:jc w:val="center"/>
              <w:rPr>
                <w:szCs w:val="22"/>
              </w:rPr>
            </w:pPr>
            <w:r w:rsidRPr="002C6C2C">
              <w:rPr>
                <w:szCs w:val="22"/>
              </w:rPr>
              <w:t>Yes/No</w:t>
            </w:r>
          </w:p>
        </w:tc>
        <w:tc>
          <w:tcPr>
            <w:tcW w:w="607" w:type="dxa"/>
          </w:tcPr>
          <w:p w14:paraId="2FF26D85" w14:textId="77777777" w:rsidR="00821E48" w:rsidRPr="002C6C2C" w:rsidRDefault="00821E48" w:rsidP="00821E48">
            <w:pPr>
              <w:spacing w:before="60" w:after="60" w:line="240" w:lineRule="auto"/>
              <w:jc w:val="center"/>
              <w:rPr>
                <w:szCs w:val="22"/>
              </w:rPr>
            </w:pPr>
          </w:p>
        </w:tc>
      </w:tr>
      <w:tr w:rsidR="00821E48" w:rsidRPr="002C6C2C" w14:paraId="52FEA53E" w14:textId="02605060" w:rsidTr="000E2E25">
        <w:trPr>
          <w:trHeight w:val="300"/>
        </w:trPr>
        <w:tc>
          <w:tcPr>
            <w:tcW w:w="460" w:type="dxa"/>
          </w:tcPr>
          <w:p w14:paraId="5BC68DA5" w14:textId="44DF90AC" w:rsidR="00821E48" w:rsidRPr="002C6C2C" w:rsidRDefault="000E2E25" w:rsidP="00821E48">
            <w:pPr>
              <w:spacing w:before="60" w:after="60" w:line="240" w:lineRule="auto"/>
              <w:rPr>
                <w:szCs w:val="22"/>
              </w:rPr>
            </w:pPr>
            <w:r>
              <w:rPr>
                <w:szCs w:val="22"/>
              </w:rPr>
              <w:t>8</w:t>
            </w:r>
          </w:p>
        </w:tc>
        <w:tc>
          <w:tcPr>
            <w:tcW w:w="6583" w:type="dxa"/>
            <w:shd w:val="clear" w:color="auto" w:fill="auto"/>
            <w:noWrap/>
            <w:vAlign w:val="bottom"/>
          </w:tcPr>
          <w:p w14:paraId="6B34DA1E" w14:textId="77777777" w:rsidR="00821E48" w:rsidRPr="002C6C2C" w:rsidRDefault="00821E48" w:rsidP="00821E48">
            <w:pPr>
              <w:spacing w:before="60" w:after="60" w:line="240" w:lineRule="auto"/>
              <w:rPr>
                <w:szCs w:val="22"/>
              </w:rPr>
            </w:pPr>
            <w:r w:rsidRPr="002C6C2C">
              <w:rPr>
                <w:szCs w:val="22"/>
              </w:rPr>
              <w:t>Payment requirements</w:t>
            </w:r>
          </w:p>
        </w:tc>
        <w:tc>
          <w:tcPr>
            <w:tcW w:w="1066" w:type="dxa"/>
            <w:noWrap/>
            <w:vAlign w:val="center"/>
          </w:tcPr>
          <w:p w14:paraId="65A09D2B" w14:textId="7F42C900" w:rsidR="00821E48" w:rsidRPr="002C6C2C" w:rsidRDefault="00821E48" w:rsidP="00821E48">
            <w:pPr>
              <w:spacing w:before="60" w:after="60" w:line="240" w:lineRule="auto"/>
              <w:jc w:val="center"/>
              <w:rPr>
                <w:szCs w:val="22"/>
              </w:rPr>
            </w:pPr>
            <w:r w:rsidRPr="002C6C2C">
              <w:rPr>
                <w:szCs w:val="22"/>
              </w:rPr>
              <w:t>Yes/No</w:t>
            </w:r>
          </w:p>
        </w:tc>
        <w:tc>
          <w:tcPr>
            <w:tcW w:w="607" w:type="dxa"/>
          </w:tcPr>
          <w:p w14:paraId="43F82A2C" w14:textId="77777777" w:rsidR="00821E48" w:rsidRPr="002C6C2C" w:rsidRDefault="00821E48" w:rsidP="00821E48">
            <w:pPr>
              <w:spacing w:before="60" w:after="60" w:line="240" w:lineRule="auto"/>
              <w:jc w:val="center"/>
              <w:rPr>
                <w:szCs w:val="22"/>
              </w:rPr>
            </w:pPr>
          </w:p>
        </w:tc>
      </w:tr>
      <w:tr w:rsidR="00821E48" w:rsidRPr="002C6C2C" w14:paraId="7A90DB88" w14:textId="2276B5C7" w:rsidTr="000E2E25">
        <w:trPr>
          <w:trHeight w:val="300"/>
        </w:trPr>
        <w:tc>
          <w:tcPr>
            <w:tcW w:w="460" w:type="dxa"/>
          </w:tcPr>
          <w:p w14:paraId="0E161511" w14:textId="21560962" w:rsidR="00821E48" w:rsidRPr="002C6C2C" w:rsidRDefault="000E2E25" w:rsidP="00821E48">
            <w:pPr>
              <w:spacing w:before="60" w:after="60" w:line="240" w:lineRule="auto"/>
              <w:rPr>
                <w:szCs w:val="22"/>
              </w:rPr>
            </w:pPr>
            <w:r>
              <w:rPr>
                <w:szCs w:val="22"/>
              </w:rPr>
              <w:t>9</w:t>
            </w:r>
          </w:p>
        </w:tc>
        <w:tc>
          <w:tcPr>
            <w:tcW w:w="6583" w:type="dxa"/>
            <w:shd w:val="clear" w:color="auto" w:fill="auto"/>
            <w:noWrap/>
            <w:vAlign w:val="bottom"/>
          </w:tcPr>
          <w:p w14:paraId="0032E2FB" w14:textId="77777777" w:rsidR="00821E48" w:rsidRPr="002C6C2C" w:rsidRDefault="00821E48" w:rsidP="00821E48">
            <w:pPr>
              <w:spacing w:before="60" w:after="60" w:line="240" w:lineRule="auto"/>
              <w:rPr>
                <w:szCs w:val="22"/>
              </w:rPr>
            </w:pPr>
            <w:r w:rsidRPr="002C6C2C">
              <w:rPr>
                <w:szCs w:val="22"/>
              </w:rPr>
              <w:t xml:space="preserve">Commitment to </w:t>
            </w:r>
            <w:r>
              <w:rPr>
                <w:szCs w:val="22"/>
              </w:rPr>
              <w:t xml:space="preserve">net zero, environmental </w:t>
            </w:r>
            <w:r w:rsidRPr="002C6C2C">
              <w:rPr>
                <w:szCs w:val="22"/>
              </w:rPr>
              <w:t>sustainability</w:t>
            </w:r>
          </w:p>
        </w:tc>
        <w:tc>
          <w:tcPr>
            <w:tcW w:w="1066" w:type="dxa"/>
            <w:noWrap/>
            <w:vAlign w:val="center"/>
          </w:tcPr>
          <w:p w14:paraId="3B3A5455" w14:textId="0FB355D8" w:rsidR="00821E48" w:rsidRPr="002C6C2C" w:rsidRDefault="00821E48" w:rsidP="00821E48">
            <w:pPr>
              <w:spacing w:before="60" w:after="60" w:line="240" w:lineRule="auto"/>
              <w:jc w:val="center"/>
              <w:rPr>
                <w:szCs w:val="22"/>
              </w:rPr>
            </w:pPr>
            <w:r w:rsidRPr="002C6C2C">
              <w:rPr>
                <w:szCs w:val="22"/>
              </w:rPr>
              <w:t>Yes/No</w:t>
            </w:r>
          </w:p>
        </w:tc>
        <w:tc>
          <w:tcPr>
            <w:tcW w:w="607" w:type="dxa"/>
          </w:tcPr>
          <w:p w14:paraId="3F284AF7" w14:textId="77777777" w:rsidR="00821E48" w:rsidRPr="002C6C2C" w:rsidRDefault="00821E48" w:rsidP="00821E48">
            <w:pPr>
              <w:spacing w:before="60" w:after="60" w:line="240" w:lineRule="auto"/>
              <w:jc w:val="center"/>
              <w:rPr>
                <w:szCs w:val="22"/>
              </w:rPr>
            </w:pPr>
          </w:p>
        </w:tc>
      </w:tr>
      <w:tr w:rsidR="00821E48" w:rsidRPr="002C6C2C" w14:paraId="1536575F" w14:textId="07D0BE00" w:rsidTr="000E2E25">
        <w:trPr>
          <w:trHeight w:val="300"/>
        </w:trPr>
        <w:tc>
          <w:tcPr>
            <w:tcW w:w="460" w:type="dxa"/>
          </w:tcPr>
          <w:p w14:paraId="2242E3A6" w14:textId="5ADB09E4" w:rsidR="00821E48" w:rsidRPr="002C6C2C" w:rsidRDefault="00821E48" w:rsidP="00821E48">
            <w:pPr>
              <w:spacing w:before="60" w:after="60" w:line="240" w:lineRule="auto"/>
              <w:rPr>
                <w:szCs w:val="22"/>
              </w:rPr>
            </w:pPr>
            <w:r>
              <w:rPr>
                <w:szCs w:val="22"/>
              </w:rPr>
              <w:t>1</w:t>
            </w:r>
            <w:r w:rsidR="000E2E25">
              <w:rPr>
                <w:szCs w:val="22"/>
              </w:rPr>
              <w:t>0</w:t>
            </w:r>
          </w:p>
        </w:tc>
        <w:tc>
          <w:tcPr>
            <w:tcW w:w="6583" w:type="dxa"/>
            <w:shd w:val="clear" w:color="auto" w:fill="auto"/>
            <w:noWrap/>
            <w:vAlign w:val="bottom"/>
          </w:tcPr>
          <w:p w14:paraId="7B2418DD" w14:textId="77777777" w:rsidR="00821E48" w:rsidRPr="002C6C2C" w:rsidRDefault="00821E48" w:rsidP="00821E48">
            <w:pPr>
              <w:spacing w:before="60" w:after="60" w:line="240" w:lineRule="auto"/>
              <w:rPr>
                <w:szCs w:val="22"/>
              </w:rPr>
            </w:pPr>
            <w:r w:rsidRPr="002C6C2C">
              <w:rPr>
                <w:szCs w:val="22"/>
              </w:rPr>
              <w:t>Terms of contract regarding termination</w:t>
            </w:r>
          </w:p>
        </w:tc>
        <w:tc>
          <w:tcPr>
            <w:tcW w:w="1066" w:type="dxa"/>
            <w:noWrap/>
            <w:vAlign w:val="center"/>
          </w:tcPr>
          <w:p w14:paraId="32DAD404" w14:textId="51F804D1" w:rsidR="00821E48" w:rsidRPr="002C6C2C" w:rsidRDefault="00821E48" w:rsidP="00821E48">
            <w:pPr>
              <w:spacing w:before="60" w:after="60" w:line="240" w:lineRule="auto"/>
              <w:jc w:val="center"/>
              <w:rPr>
                <w:szCs w:val="22"/>
              </w:rPr>
            </w:pPr>
            <w:r w:rsidRPr="002C6C2C">
              <w:rPr>
                <w:szCs w:val="22"/>
              </w:rPr>
              <w:t>Yes/No</w:t>
            </w:r>
          </w:p>
        </w:tc>
        <w:tc>
          <w:tcPr>
            <w:tcW w:w="607" w:type="dxa"/>
          </w:tcPr>
          <w:p w14:paraId="6E15B86D" w14:textId="77777777" w:rsidR="00821E48" w:rsidRPr="002C6C2C" w:rsidRDefault="00821E48" w:rsidP="00821E48">
            <w:pPr>
              <w:spacing w:before="60" w:after="60" w:line="240" w:lineRule="auto"/>
              <w:jc w:val="center"/>
              <w:rPr>
                <w:szCs w:val="22"/>
              </w:rPr>
            </w:pPr>
          </w:p>
        </w:tc>
      </w:tr>
    </w:tbl>
    <w:p w14:paraId="5D60456D" w14:textId="77777777" w:rsidR="00946A41" w:rsidRDefault="00946A41" w:rsidP="00325A46">
      <w:pPr>
        <w:rPr>
          <w:szCs w:val="22"/>
        </w:rPr>
      </w:pPr>
    </w:p>
    <w:p w14:paraId="1C293E44" w14:textId="36566997" w:rsidR="00946A41" w:rsidRPr="00BF1B18" w:rsidRDefault="00946A41" w:rsidP="00B33B37">
      <w:pPr>
        <w:numPr>
          <w:ilvl w:val="0"/>
          <w:numId w:val="4"/>
        </w:numPr>
        <w:rPr>
          <w:szCs w:val="22"/>
        </w:rPr>
      </w:pPr>
      <w:r w:rsidRPr="00BF1B18">
        <w:rPr>
          <w:szCs w:val="22"/>
        </w:rPr>
        <w:t xml:space="preserve">Items </w:t>
      </w:r>
      <w:r>
        <w:rPr>
          <w:szCs w:val="22"/>
        </w:rPr>
        <w:t>1</w:t>
      </w:r>
      <w:r w:rsidRPr="00BF1B18">
        <w:rPr>
          <w:szCs w:val="22"/>
        </w:rPr>
        <w:t xml:space="preserve"> </w:t>
      </w:r>
      <w:r>
        <w:rPr>
          <w:szCs w:val="22"/>
        </w:rPr>
        <w:t>–</w:t>
      </w:r>
      <w:r w:rsidRPr="00BF1B18">
        <w:rPr>
          <w:szCs w:val="22"/>
        </w:rPr>
        <w:t xml:space="preserve"> </w:t>
      </w:r>
      <w:r w:rsidR="000E2E25">
        <w:rPr>
          <w:szCs w:val="22"/>
        </w:rPr>
        <w:t>3</w:t>
      </w:r>
      <w:r>
        <w:rPr>
          <w:szCs w:val="22"/>
        </w:rPr>
        <w:t xml:space="preserve">. </w:t>
      </w:r>
      <w:r w:rsidRPr="00BF1B18">
        <w:rPr>
          <w:szCs w:val="22"/>
        </w:rPr>
        <w:t xml:space="preserve"> These will be scored 0-5 based on the scheme detailed below:</w:t>
      </w:r>
    </w:p>
    <w:tbl>
      <w:tblPr>
        <w:tblStyle w:val="TableGrid"/>
        <w:tblW w:w="3297" w:type="pct"/>
        <w:tblInd w:w="607" w:type="dxa"/>
        <w:tblLook w:val="04A0" w:firstRow="1" w:lastRow="0" w:firstColumn="1" w:lastColumn="0" w:noHBand="0" w:noVBand="1"/>
      </w:tblPr>
      <w:tblGrid>
        <w:gridCol w:w="1553"/>
        <w:gridCol w:w="4595"/>
      </w:tblGrid>
      <w:tr w:rsidR="00946A41" w:rsidRPr="00BF1B18" w14:paraId="60E44058" w14:textId="77777777" w:rsidTr="00EF6995">
        <w:tc>
          <w:tcPr>
            <w:tcW w:w="1604" w:type="dxa"/>
          </w:tcPr>
          <w:p w14:paraId="75467DCF" w14:textId="77777777" w:rsidR="00946A41" w:rsidRPr="00BF1B18" w:rsidRDefault="00946A41" w:rsidP="00EF6995">
            <w:pPr>
              <w:spacing w:after="0" w:line="276" w:lineRule="auto"/>
              <w:rPr>
                <w:bCs/>
                <w:i/>
                <w:sz w:val="22"/>
                <w:szCs w:val="22"/>
                <w:lang w:val="en"/>
              </w:rPr>
            </w:pPr>
            <w:r w:rsidRPr="00BF1B18">
              <w:rPr>
                <w:i/>
                <w:sz w:val="22"/>
                <w:szCs w:val="22"/>
                <w:lang w:val="en"/>
              </w:rPr>
              <w:t>Score</w:t>
            </w:r>
          </w:p>
        </w:tc>
        <w:tc>
          <w:tcPr>
            <w:tcW w:w="4965" w:type="dxa"/>
          </w:tcPr>
          <w:p w14:paraId="2C555680" w14:textId="77777777" w:rsidR="00946A41" w:rsidRPr="00BF1B18" w:rsidRDefault="00946A41" w:rsidP="00EF6995">
            <w:pPr>
              <w:spacing w:after="0" w:line="276" w:lineRule="auto"/>
              <w:rPr>
                <w:i/>
                <w:sz w:val="22"/>
                <w:szCs w:val="22"/>
                <w:lang w:val="en"/>
              </w:rPr>
            </w:pPr>
            <w:r w:rsidRPr="00BF1B18">
              <w:rPr>
                <w:i/>
                <w:sz w:val="22"/>
                <w:szCs w:val="22"/>
                <w:lang w:val="en"/>
              </w:rPr>
              <w:t>Description</w:t>
            </w:r>
          </w:p>
        </w:tc>
      </w:tr>
      <w:tr w:rsidR="00946A41" w:rsidRPr="00BF1B18" w14:paraId="17728315" w14:textId="77777777" w:rsidTr="00EF6995">
        <w:tc>
          <w:tcPr>
            <w:tcW w:w="1604" w:type="dxa"/>
          </w:tcPr>
          <w:p w14:paraId="2F8553A0" w14:textId="77777777" w:rsidR="00946A41" w:rsidRPr="00BF1B18" w:rsidRDefault="00946A41" w:rsidP="00EF6995">
            <w:pPr>
              <w:spacing w:line="276" w:lineRule="auto"/>
              <w:rPr>
                <w:rFonts w:cs="Times New Roman"/>
                <w:bCs/>
                <w:sz w:val="22"/>
                <w:szCs w:val="22"/>
                <w:lang w:val="en"/>
              </w:rPr>
            </w:pPr>
            <w:r w:rsidRPr="00BF1B18">
              <w:rPr>
                <w:rFonts w:cs="Times New Roman"/>
                <w:sz w:val="22"/>
                <w:szCs w:val="22"/>
                <w:lang w:val="en"/>
              </w:rPr>
              <w:t>5</w:t>
            </w:r>
            <w:r>
              <w:rPr>
                <w:rFonts w:cs="Times New Roman"/>
                <w:sz w:val="22"/>
                <w:szCs w:val="22"/>
                <w:lang w:val="en"/>
              </w:rPr>
              <w:t xml:space="preserve"> </w:t>
            </w:r>
            <w:r w:rsidRPr="00BF1B18">
              <w:rPr>
                <w:rFonts w:cs="Times New Roman"/>
                <w:bCs/>
                <w:sz w:val="22"/>
                <w:szCs w:val="22"/>
                <w:lang w:val="en"/>
              </w:rPr>
              <w:t>-</w:t>
            </w:r>
            <w:r w:rsidRPr="00BF1B18">
              <w:rPr>
                <w:rFonts w:cs="Times New Roman"/>
                <w:sz w:val="22"/>
                <w:szCs w:val="22"/>
                <w:lang w:val="en"/>
              </w:rPr>
              <w:t xml:space="preserve"> Excellent</w:t>
            </w:r>
          </w:p>
        </w:tc>
        <w:tc>
          <w:tcPr>
            <w:tcW w:w="4965" w:type="dxa"/>
          </w:tcPr>
          <w:p w14:paraId="28E5EAEE" w14:textId="77777777" w:rsidR="00946A41" w:rsidRPr="00BF1B18" w:rsidRDefault="00946A41" w:rsidP="00EF6995">
            <w:pPr>
              <w:spacing w:line="276" w:lineRule="auto"/>
              <w:rPr>
                <w:rFonts w:cs="Times New Roman"/>
                <w:sz w:val="22"/>
                <w:szCs w:val="22"/>
                <w:lang w:val="en"/>
              </w:rPr>
            </w:pPr>
            <w:r w:rsidRPr="00BF1B18">
              <w:rPr>
                <w:rFonts w:cs="Times New Roman"/>
                <w:sz w:val="22"/>
                <w:szCs w:val="22"/>
                <w:lang w:val="en"/>
              </w:rPr>
              <w:t>Meets exactly the specified standard</w:t>
            </w:r>
          </w:p>
        </w:tc>
      </w:tr>
      <w:tr w:rsidR="00946A41" w:rsidRPr="00BF1B18" w14:paraId="03FB8A64" w14:textId="77777777" w:rsidTr="00EF6995">
        <w:tc>
          <w:tcPr>
            <w:tcW w:w="1604" w:type="dxa"/>
          </w:tcPr>
          <w:p w14:paraId="1F1B6F35" w14:textId="77777777" w:rsidR="00946A41" w:rsidRPr="00BF1B18" w:rsidRDefault="00946A41" w:rsidP="00EF6995">
            <w:pPr>
              <w:spacing w:line="276" w:lineRule="auto"/>
              <w:rPr>
                <w:rFonts w:cs="Times New Roman"/>
                <w:bCs/>
                <w:sz w:val="22"/>
                <w:szCs w:val="22"/>
                <w:lang w:val="en"/>
              </w:rPr>
            </w:pPr>
            <w:r w:rsidRPr="00BF1B18">
              <w:rPr>
                <w:rFonts w:cs="Times New Roman"/>
                <w:sz w:val="22"/>
                <w:szCs w:val="22"/>
                <w:lang w:val="en"/>
              </w:rPr>
              <w:t>4</w:t>
            </w:r>
            <w:r>
              <w:rPr>
                <w:rFonts w:cs="Times New Roman"/>
                <w:sz w:val="22"/>
                <w:szCs w:val="22"/>
                <w:lang w:val="en"/>
              </w:rPr>
              <w:t xml:space="preserve"> </w:t>
            </w:r>
            <w:r w:rsidRPr="00BF1B18">
              <w:rPr>
                <w:rFonts w:cs="Times New Roman"/>
                <w:bCs/>
                <w:sz w:val="22"/>
                <w:szCs w:val="22"/>
                <w:lang w:val="en"/>
              </w:rPr>
              <w:t>-</w:t>
            </w:r>
            <w:r w:rsidRPr="00BF1B18">
              <w:rPr>
                <w:rFonts w:cs="Times New Roman"/>
                <w:sz w:val="22"/>
                <w:szCs w:val="22"/>
                <w:lang w:val="en"/>
              </w:rPr>
              <w:t xml:space="preserve"> Good</w:t>
            </w:r>
          </w:p>
        </w:tc>
        <w:tc>
          <w:tcPr>
            <w:tcW w:w="4965" w:type="dxa"/>
          </w:tcPr>
          <w:p w14:paraId="7A860F07" w14:textId="77777777" w:rsidR="00946A41" w:rsidRPr="00BF1B18" w:rsidRDefault="00946A41" w:rsidP="00EF6995">
            <w:pPr>
              <w:spacing w:line="276" w:lineRule="auto"/>
              <w:rPr>
                <w:rFonts w:cs="Times New Roman"/>
                <w:sz w:val="22"/>
                <w:szCs w:val="22"/>
                <w:lang w:val="en"/>
              </w:rPr>
            </w:pPr>
            <w:r w:rsidRPr="00BF1B18">
              <w:rPr>
                <w:rFonts w:cs="Times New Roman"/>
                <w:sz w:val="22"/>
                <w:szCs w:val="22"/>
                <w:lang w:val="en"/>
              </w:rPr>
              <w:t>Meets the standard well but not completely</w:t>
            </w:r>
          </w:p>
        </w:tc>
      </w:tr>
      <w:tr w:rsidR="00946A41" w:rsidRPr="00BF1B18" w14:paraId="66EBD903" w14:textId="77777777" w:rsidTr="00EF6995">
        <w:tc>
          <w:tcPr>
            <w:tcW w:w="1604" w:type="dxa"/>
          </w:tcPr>
          <w:p w14:paraId="63F8C1C4" w14:textId="77777777" w:rsidR="00946A41" w:rsidRPr="00BF1B18" w:rsidRDefault="00946A41" w:rsidP="00EF6995">
            <w:pPr>
              <w:spacing w:line="276" w:lineRule="auto"/>
              <w:rPr>
                <w:rFonts w:cs="Times New Roman"/>
                <w:bCs/>
                <w:sz w:val="22"/>
                <w:szCs w:val="22"/>
                <w:lang w:val="en"/>
              </w:rPr>
            </w:pPr>
            <w:r w:rsidRPr="00BF1B18">
              <w:rPr>
                <w:rFonts w:cs="Times New Roman"/>
                <w:sz w:val="22"/>
                <w:szCs w:val="22"/>
                <w:lang w:val="en"/>
              </w:rPr>
              <w:t>3</w:t>
            </w:r>
            <w:r>
              <w:rPr>
                <w:rFonts w:cs="Times New Roman"/>
                <w:sz w:val="22"/>
                <w:szCs w:val="22"/>
                <w:lang w:val="en"/>
              </w:rPr>
              <w:t xml:space="preserve"> </w:t>
            </w:r>
            <w:r w:rsidRPr="00BF1B18">
              <w:rPr>
                <w:rFonts w:cs="Times New Roman"/>
                <w:bCs/>
                <w:sz w:val="22"/>
                <w:szCs w:val="22"/>
                <w:lang w:val="en"/>
              </w:rPr>
              <w:t>-</w:t>
            </w:r>
            <w:r w:rsidRPr="00BF1B18">
              <w:rPr>
                <w:rFonts w:cs="Times New Roman"/>
                <w:sz w:val="22"/>
                <w:szCs w:val="22"/>
                <w:lang w:val="en"/>
              </w:rPr>
              <w:t xml:space="preserve"> Fair</w:t>
            </w:r>
          </w:p>
        </w:tc>
        <w:tc>
          <w:tcPr>
            <w:tcW w:w="4965" w:type="dxa"/>
          </w:tcPr>
          <w:p w14:paraId="592E792F" w14:textId="77777777" w:rsidR="00946A41" w:rsidRPr="00BF1B18" w:rsidRDefault="00946A41" w:rsidP="00EF6995">
            <w:pPr>
              <w:spacing w:line="276" w:lineRule="auto"/>
              <w:rPr>
                <w:rFonts w:cs="Times New Roman"/>
                <w:sz w:val="22"/>
                <w:szCs w:val="22"/>
                <w:lang w:val="en"/>
              </w:rPr>
            </w:pPr>
            <w:r w:rsidRPr="00BF1B18">
              <w:rPr>
                <w:rFonts w:cs="Times New Roman"/>
                <w:sz w:val="22"/>
                <w:szCs w:val="22"/>
                <w:lang w:val="en"/>
              </w:rPr>
              <w:t>Mostly meets the standard but fails in parts</w:t>
            </w:r>
          </w:p>
        </w:tc>
      </w:tr>
      <w:tr w:rsidR="00946A41" w:rsidRPr="00BF1B18" w14:paraId="07518ABE" w14:textId="77777777" w:rsidTr="00EF6995">
        <w:tc>
          <w:tcPr>
            <w:tcW w:w="1604" w:type="dxa"/>
          </w:tcPr>
          <w:p w14:paraId="00F1393C" w14:textId="77777777" w:rsidR="00946A41" w:rsidRPr="00BF1B18" w:rsidRDefault="00946A41" w:rsidP="00EF6995">
            <w:pPr>
              <w:spacing w:line="276" w:lineRule="auto"/>
              <w:rPr>
                <w:rFonts w:cs="Times New Roman"/>
                <w:bCs/>
                <w:sz w:val="22"/>
                <w:szCs w:val="22"/>
                <w:lang w:val="en"/>
              </w:rPr>
            </w:pPr>
            <w:r w:rsidRPr="00BF1B18">
              <w:rPr>
                <w:rFonts w:cs="Times New Roman"/>
                <w:sz w:val="22"/>
                <w:szCs w:val="22"/>
                <w:lang w:val="en"/>
              </w:rPr>
              <w:t>2</w:t>
            </w:r>
            <w:r>
              <w:rPr>
                <w:rFonts w:cs="Times New Roman"/>
                <w:sz w:val="22"/>
                <w:szCs w:val="22"/>
                <w:lang w:val="en"/>
              </w:rPr>
              <w:t xml:space="preserve"> </w:t>
            </w:r>
            <w:r w:rsidRPr="00BF1B18">
              <w:rPr>
                <w:rFonts w:cs="Times New Roman"/>
                <w:bCs/>
                <w:sz w:val="22"/>
                <w:szCs w:val="22"/>
                <w:lang w:val="en"/>
              </w:rPr>
              <w:t>-</w:t>
            </w:r>
            <w:r w:rsidRPr="00BF1B18">
              <w:rPr>
                <w:rFonts w:cs="Times New Roman"/>
                <w:sz w:val="22"/>
                <w:szCs w:val="22"/>
                <w:lang w:val="en"/>
              </w:rPr>
              <w:t xml:space="preserve"> Doubtful</w:t>
            </w:r>
          </w:p>
        </w:tc>
        <w:tc>
          <w:tcPr>
            <w:tcW w:w="4965" w:type="dxa"/>
          </w:tcPr>
          <w:p w14:paraId="412D70EA" w14:textId="77777777" w:rsidR="00946A41" w:rsidRPr="00BF1B18" w:rsidRDefault="00946A41" w:rsidP="00EF6995">
            <w:pPr>
              <w:spacing w:line="276" w:lineRule="auto"/>
              <w:rPr>
                <w:rFonts w:cs="Times New Roman"/>
                <w:sz w:val="22"/>
                <w:szCs w:val="22"/>
                <w:lang w:val="en"/>
              </w:rPr>
            </w:pPr>
            <w:r w:rsidRPr="00BF1B18">
              <w:rPr>
                <w:rFonts w:cs="Times New Roman"/>
                <w:sz w:val="22"/>
                <w:szCs w:val="22"/>
                <w:lang w:val="en"/>
              </w:rPr>
              <w:t>Mostly fails the standard but meets in some</w:t>
            </w:r>
          </w:p>
        </w:tc>
      </w:tr>
      <w:tr w:rsidR="00946A41" w:rsidRPr="00BF1B18" w14:paraId="2B97B784" w14:textId="77777777" w:rsidTr="00EF6995">
        <w:tc>
          <w:tcPr>
            <w:tcW w:w="1604" w:type="dxa"/>
          </w:tcPr>
          <w:p w14:paraId="5E444FC5" w14:textId="77777777" w:rsidR="00946A41" w:rsidRPr="00BF1B18" w:rsidRDefault="00946A41" w:rsidP="00EF6995">
            <w:pPr>
              <w:spacing w:line="276" w:lineRule="auto"/>
              <w:rPr>
                <w:rFonts w:cs="Times New Roman"/>
                <w:bCs/>
                <w:sz w:val="22"/>
                <w:szCs w:val="22"/>
                <w:lang w:val="en"/>
              </w:rPr>
            </w:pPr>
            <w:r w:rsidRPr="00BF1B18">
              <w:rPr>
                <w:rFonts w:cs="Times New Roman"/>
                <w:sz w:val="22"/>
                <w:szCs w:val="22"/>
                <w:lang w:val="en"/>
              </w:rPr>
              <w:t>1</w:t>
            </w:r>
            <w:r>
              <w:rPr>
                <w:rFonts w:cs="Times New Roman"/>
                <w:sz w:val="22"/>
                <w:szCs w:val="22"/>
                <w:lang w:val="en"/>
              </w:rPr>
              <w:t xml:space="preserve"> </w:t>
            </w:r>
            <w:r w:rsidRPr="00BF1B18">
              <w:rPr>
                <w:rFonts w:cs="Times New Roman"/>
                <w:bCs/>
                <w:sz w:val="22"/>
                <w:szCs w:val="22"/>
                <w:lang w:val="en"/>
              </w:rPr>
              <w:t>-</w:t>
            </w:r>
            <w:r w:rsidRPr="00BF1B18">
              <w:rPr>
                <w:rFonts w:cs="Times New Roman"/>
                <w:sz w:val="22"/>
                <w:szCs w:val="22"/>
                <w:lang w:val="en"/>
              </w:rPr>
              <w:t xml:space="preserve"> Poor</w:t>
            </w:r>
          </w:p>
        </w:tc>
        <w:tc>
          <w:tcPr>
            <w:tcW w:w="4965" w:type="dxa"/>
          </w:tcPr>
          <w:p w14:paraId="7DB533F8" w14:textId="77777777" w:rsidR="00946A41" w:rsidRPr="00BF1B18" w:rsidRDefault="00946A41" w:rsidP="00EF6995">
            <w:pPr>
              <w:spacing w:line="276" w:lineRule="auto"/>
              <w:rPr>
                <w:rFonts w:cs="Times New Roman"/>
                <w:sz w:val="22"/>
                <w:szCs w:val="22"/>
                <w:lang w:val="en"/>
              </w:rPr>
            </w:pPr>
            <w:r w:rsidRPr="00BF1B18">
              <w:rPr>
                <w:rFonts w:cs="Times New Roman"/>
                <w:sz w:val="22"/>
                <w:szCs w:val="22"/>
                <w:lang w:val="en"/>
              </w:rPr>
              <w:t>Significantly fails to meet standard</w:t>
            </w:r>
          </w:p>
        </w:tc>
      </w:tr>
      <w:tr w:rsidR="00946A41" w:rsidRPr="00BF1B18" w14:paraId="5295E6D8" w14:textId="77777777" w:rsidTr="00EF6995">
        <w:tc>
          <w:tcPr>
            <w:tcW w:w="1604" w:type="dxa"/>
          </w:tcPr>
          <w:p w14:paraId="766817B2" w14:textId="77777777" w:rsidR="00946A41" w:rsidRPr="00BF1B18" w:rsidRDefault="00946A41" w:rsidP="00EF6995">
            <w:pPr>
              <w:spacing w:line="276" w:lineRule="auto"/>
              <w:rPr>
                <w:rFonts w:cs="Times New Roman"/>
                <w:bCs/>
                <w:sz w:val="22"/>
                <w:szCs w:val="22"/>
                <w:lang w:val="en"/>
              </w:rPr>
            </w:pPr>
            <w:r w:rsidRPr="00BF1B18">
              <w:rPr>
                <w:rFonts w:cs="Times New Roman"/>
                <w:sz w:val="22"/>
                <w:szCs w:val="22"/>
                <w:lang w:val="en"/>
              </w:rPr>
              <w:t>0</w:t>
            </w:r>
            <w:r>
              <w:rPr>
                <w:rFonts w:cs="Times New Roman"/>
                <w:sz w:val="22"/>
                <w:szCs w:val="22"/>
                <w:lang w:val="en"/>
              </w:rPr>
              <w:t xml:space="preserve"> </w:t>
            </w:r>
            <w:r w:rsidRPr="00BF1B18">
              <w:rPr>
                <w:rFonts w:cs="Times New Roman"/>
                <w:bCs/>
                <w:sz w:val="22"/>
                <w:szCs w:val="22"/>
                <w:lang w:val="en"/>
              </w:rPr>
              <w:t>-</w:t>
            </w:r>
            <w:r w:rsidRPr="00BF1B18">
              <w:rPr>
                <w:rFonts w:cs="Times New Roman"/>
                <w:sz w:val="22"/>
                <w:szCs w:val="22"/>
                <w:lang w:val="en"/>
              </w:rPr>
              <w:t xml:space="preserve"> Reject</w:t>
            </w:r>
          </w:p>
        </w:tc>
        <w:tc>
          <w:tcPr>
            <w:tcW w:w="4965" w:type="dxa"/>
          </w:tcPr>
          <w:p w14:paraId="1261F237" w14:textId="77777777" w:rsidR="00946A41" w:rsidRPr="00BF1B18" w:rsidRDefault="00946A41" w:rsidP="00EF6995">
            <w:pPr>
              <w:spacing w:line="276" w:lineRule="auto"/>
              <w:rPr>
                <w:rFonts w:cs="Times New Roman"/>
                <w:sz w:val="22"/>
                <w:szCs w:val="22"/>
                <w:lang w:val="en"/>
              </w:rPr>
            </w:pPr>
            <w:r w:rsidRPr="00BF1B18">
              <w:rPr>
                <w:rFonts w:cs="Times New Roman"/>
                <w:sz w:val="22"/>
                <w:szCs w:val="22"/>
                <w:lang w:val="en"/>
              </w:rPr>
              <w:t>Completely fails to meet standard</w:t>
            </w:r>
          </w:p>
        </w:tc>
      </w:tr>
    </w:tbl>
    <w:p w14:paraId="5BC5D584" w14:textId="77777777" w:rsidR="00946A41" w:rsidRDefault="00946A41" w:rsidP="00946A41">
      <w:pPr>
        <w:ind w:left="567"/>
        <w:rPr>
          <w:szCs w:val="22"/>
        </w:rPr>
      </w:pPr>
    </w:p>
    <w:p w14:paraId="4F9D1C1E" w14:textId="2AB07F34" w:rsidR="00946A41" w:rsidRPr="002C6C2C" w:rsidRDefault="00946A41" w:rsidP="00B33B37">
      <w:pPr>
        <w:numPr>
          <w:ilvl w:val="0"/>
          <w:numId w:val="4"/>
        </w:numPr>
        <w:rPr>
          <w:szCs w:val="22"/>
        </w:rPr>
      </w:pPr>
      <w:r w:rsidRPr="00821E48">
        <w:rPr>
          <w:b/>
          <w:bCs/>
          <w:szCs w:val="22"/>
        </w:rPr>
        <w:t xml:space="preserve">Item </w:t>
      </w:r>
      <w:r w:rsidR="000E2E25">
        <w:rPr>
          <w:b/>
          <w:bCs/>
          <w:szCs w:val="22"/>
        </w:rPr>
        <w:t>4</w:t>
      </w:r>
      <w:r w:rsidRPr="00821E48">
        <w:rPr>
          <w:szCs w:val="22"/>
        </w:rPr>
        <w:t>. Full c</w:t>
      </w:r>
      <w:r w:rsidRPr="002C6C2C">
        <w:rPr>
          <w:szCs w:val="22"/>
        </w:rPr>
        <w:t>ost details must be provided as requested, otherwise the submission will score zero here.  Scores will be awarded by ranking all submissions in order of cost.  The supplier with the lowest total cost will receive 5, second will receive 4, third, 3 and so on.  Add-ons will be used to differentiate between suppliers where the costs are equivalent.</w:t>
      </w:r>
    </w:p>
    <w:p w14:paraId="594C8BB4" w14:textId="5C37C030" w:rsidR="00946A41" w:rsidRDefault="00946A41" w:rsidP="00B33B37">
      <w:pPr>
        <w:numPr>
          <w:ilvl w:val="0"/>
          <w:numId w:val="4"/>
        </w:numPr>
        <w:rPr>
          <w:szCs w:val="22"/>
        </w:rPr>
      </w:pPr>
      <w:r w:rsidRPr="002C6C2C">
        <w:rPr>
          <w:szCs w:val="22"/>
        </w:rPr>
        <w:t xml:space="preserve">Items </w:t>
      </w:r>
      <w:r w:rsidR="000E2E25">
        <w:rPr>
          <w:szCs w:val="22"/>
        </w:rPr>
        <w:t>5</w:t>
      </w:r>
      <w:r w:rsidR="00821E48">
        <w:rPr>
          <w:szCs w:val="22"/>
        </w:rPr>
        <w:t xml:space="preserve"> - </w:t>
      </w:r>
      <w:r w:rsidR="00821E48" w:rsidRPr="00821E48">
        <w:rPr>
          <w:szCs w:val="22"/>
        </w:rPr>
        <w:t>1</w:t>
      </w:r>
      <w:r w:rsidR="000E2E25">
        <w:rPr>
          <w:szCs w:val="22"/>
        </w:rPr>
        <w:t>0</w:t>
      </w:r>
      <w:r w:rsidRPr="00821E48">
        <w:rPr>
          <w:szCs w:val="22"/>
        </w:rPr>
        <w:t>.</w:t>
      </w:r>
      <w:r w:rsidRPr="002C6C2C">
        <w:rPr>
          <w:szCs w:val="22"/>
        </w:rPr>
        <w:t xml:space="preserve"> This </w:t>
      </w:r>
      <w:r w:rsidR="000E2E25">
        <w:rPr>
          <w:szCs w:val="22"/>
        </w:rPr>
        <w:t xml:space="preserve">is essential </w:t>
      </w:r>
      <w:r w:rsidRPr="002C6C2C">
        <w:rPr>
          <w:szCs w:val="22"/>
        </w:rPr>
        <w:t>information</w:t>
      </w:r>
      <w:r w:rsidR="000E2E25">
        <w:rPr>
          <w:szCs w:val="22"/>
        </w:rPr>
        <w:t xml:space="preserve"> and is</w:t>
      </w:r>
      <w:r w:rsidRPr="002C6C2C">
        <w:rPr>
          <w:szCs w:val="22"/>
        </w:rPr>
        <w:t xml:space="preserve"> required for the tender to be considered, but will not form part of the weighted score.</w:t>
      </w:r>
    </w:p>
    <w:p w14:paraId="5D1F678D" w14:textId="77777777" w:rsidR="00946A41" w:rsidRPr="002C6C2C" w:rsidRDefault="00946A41" w:rsidP="00946A41">
      <w:pPr>
        <w:rPr>
          <w:szCs w:val="22"/>
        </w:rPr>
      </w:pPr>
    </w:p>
    <w:p w14:paraId="289072EC" w14:textId="6DF8B78C" w:rsidR="003D62BC" w:rsidRDefault="003D62BC" w:rsidP="003D62BC">
      <w:pPr>
        <w:pStyle w:val="Heading1"/>
      </w:pPr>
      <w:bookmarkStart w:id="9" w:name="_Toc190964789"/>
      <w:r>
        <w:t>Contract Terms and Conditions</w:t>
      </w:r>
      <w:bookmarkEnd w:id="9"/>
    </w:p>
    <w:p w14:paraId="489585ED" w14:textId="77777777" w:rsidR="003D62BC" w:rsidRDefault="003D62BC" w:rsidP="003D62BC">
      <w:pPr>
        <w:pStyle w:val="Heading2"/>
      </w:pPr>
      <w:r>
        <w:t>Tender conditions</w:t>
      </w:r>
    </w:p>
    <w:p w14:paraId="45E5E6D4" w14:textId="77777777" w:rsidR="00946A41" w:rsidRPr="00BF1B18" w:rsidRDefault="00946A41" w:rsidP="00B33B37">
      <w:pPr>
        <w:numPr>
          <w:ilvl w:val="0"/>
          <w:numId w:val="4"/>
        </w:numPr>
        <w:rPr>
          <w:szCs w:val="22"/>
        </w:rPr>
      </w:pPr>
      <w:r w:rsidRPr="00BF1B18">
        <w:rPr>
          <w:szCs w:val="22"/>
        </w:rPr>
        <w:t>Suppliers are invited to submit a tender, including all expenses, for providing the services as described in this document.  If the costs are not fixed for the duration of the contract, the review points and basis of the review should be clearly detailed.</w:t>
      </w:r>
    </w:p>
    <w:p w14:paraId="1FD51AE0" w14:textId="77777777" w:rsidR="00946A41" w:rsidRPr="00BF1B18" w:rsidRDefault="00946A41" w:rsidP="00B33B37">
      <w:pPr>
        <w:numPr>
          <w:ilvl w:val="0"/>
          <w:numId w:val="4"/>
        </w:numPr>
        <w:rPr>
          <w:szCs w:val="22"/>
        </w:rPr>
      </w:pPr>
      <w:r w:rsidRPr="00BF1B18">
        <w:rPr>
          <w:szCs w:val="22"/>
        </w:rPr>
        <w:t>Potential suppliers must meet their own costs of responding to this tender and any costs they incur in responding to this tender.</w:t>
      </w:r>
    </w:p>
    <w:p w14:paraId="4D74BE45" w14:textId="77777777" w:rsidR="00946A41" w:rsidRPr="00BF1B18" w:rsidRDefault="00946A41" w:rsidP="00B33B37">
      <w:pPr>
        <w:numPr>
          <w:ilvl w:val="0"/>
          <w:numId w:val="4"/>
        </w:numPr>
        <w:rPr>
          <w:szCs w:val="22"/>
        </w:rPr>
      </w:pPr>
      <w:r w:rsidRPr="00BF1B18">
        <w:rPr>
          <w:szCs w:val="22"/>
        </w:rPr>
        <w:t>Prices quoted must be held firm for at least 45 days from the closing date for tenders</w:t>
      </w:r>
    </w:p>
    <w:p w14:paraId="12B42E11" w14:textId="77777777" w:rsidR="00946A41" w:rsidRDefault="00946A41" w:rsidP="00B33B37">
      <w:pPr>
        <w:numPr>
          <w:ilvl w:val="0"/>
          <w:numId w:val="4"/>
        </w:numPr>
        <w:rPr>
          <w:szCs w:val="22"/>
        </w:rPr>
      </w:pPr>
      <w:r w:rsidRPr="00BF1B18">
        <w:rPr>
          <w:szCs w:val="22"/>
        </w:rPr>
        <w:t>The supplier must be willing for the response to this invitation to tender to form part of the contractual relationship with the Scottish Public Services Ombudsman.</w:t>
      </w:r>
    </w:p>
    <w:p w14:paraId="3C0E0DC5" w14:textId="657704A5" w:rsidR="003D62BC" w:rsidRDefault="00946A41" w:rsidP="003D62BC">
      <w:pPr>
        <w:pStyle w:val="Heading2"/>
      </w:pPr>
      <w:r>
        <w:t>Tender c</w:t>
      </w:r>
      <w:r w:rsidR="003D62BC">
        <w:t>onfidentiality</w:t>
      </w:r>
    </w:p>
    <w:p w14:paraId="0233065A" w14:textId="318886AA" w:rsidR="003D62BC" w:rsidRDefault="00E935B3" w:rsidP="00B33B37">
      <w:pPr>
        <w:numPr>
          <w:ilvl w:val="0"/>
          <w:numId w:val="4"/>
        </w:numPr>
      </w:pPr>
      <w:r>
        <w:t>The Provider</w:t>
      </w:r>
      <w:r w:rsidR="003D62BC">
        <w:t xml:space="preserve"> will not issue any public statements or otherwise disclose any information concerning</w:t>
      </w:r>
      <w:r w:rsidR="00C16ED9">
        <w:t xml:space="preserve"> this ITT</w:t>
      </w:r>
      <w:r w:rsidR="003D62BC">
        <w:t>, the process and its participation in the process without the prior written approval of the SPSO.</w:t>
      </w:r>
    </w:p>
    <w:p w14:paraId="3F5B4342" w14:textId="77777777" w:rsidR="00946A41" w:rsidRPr="002C6C2C" w:rsidRDefault="00946A41" w:rsidP="00946A41">
      <w:pPr>
        <w:pStyle w:val="Heading2"/>
      </w:pPr>
      <w:r w:rsidRPr="002C6C2C">
        <w:t xml:space="preserve">Contracted confidentiality </w:t>
      </w:r>
    </w:p>
    <w:p w14:paraId="2B301D23" w14:textId="095F4425" w:rsidR="00946A41" w:rsidRPr="002C6C2C" w:rsidRDefault="00946A41" w:rsidP="00B33B37">
      <w:pPr>
        <w:numPr>
          <w:ilvl w:val="0"/>
          <w:numId w:val="4"/>
        </w:numPr>
        <w:rPr>
          <w:szCs w:val="22"/>
        </w:rPr>
      </w:pPr>
      <w:r w:rsidRPr="002C6C2C">
        <w:rPr>
          <w:szCs w:val="22"/>
        </w:rPr>
        <w:t>Bidders must be aware of, and take account of, the confidentiality requirements of</w:t>
      </w:r>
      <w:r w:rsidR="00BA3947">
        <w:rPr>
          <w:szCs w:val="22"/>
        </w:rPr>
        <w:t xml:space="preserve"> </w:t>
      </w:r>
      <w:r w:rsidR="00BA3947" w:rsidRPr="00BA3947">
        <w:rPr>
          <w:szCs w:val="22"/>
        </w:rPr>
        <w:t>section 45 of the Freedom of Information (Scotland) Act 2002</w:t>
      </w:r>
      <w:r w:rsidR="00BA3947">
        <w:rPr>
          <w:szCs w:val="22"/>
        </w:rPr>
        <w:t xml:space="preserve"> and </w:t>
      </w:r>
      <w:r w:rsidRPr="002C6C2C">
        <w:rPr>
          <w:szCs w:val="22"/>
        </w:rPr>
        <w:t>section 19 of the SPSO Act.  A copy of section 19 is attached at Annex 1.</w:t>
      </w:r>
    </w:p>
    <w:p w14:paraId="6FDA87A0" w14:textId="77777777" w:rsidR="00946A41" w:rsidRPr="002C6C2C" w:rsidRDefault="00946A41" w:rsidP="00B33B37">
      <w:pPr>
        <w:numPr>
          <w:ilvl w:val="0"/>
          <w:numId w:val="4"/>
        </w:numPr>
        <w:rPr>
          <w:szCs w:val="22"/>
        </w:rPr>
      </w:pPr>
      <w:r w:rsidRPr="002C6C2C">
        <w:rPr>
          <w:szCs w:val="22"/>
        </w:rPr>
        <w:t>All records, working papers, reports and other information held by the legal service in fulfilling this contract will remain the property of the SPSO.  At the end of the contract, all applicable paperwork must reside with the SPSO.</w:t>
      </w:r>
    </w:p>
    <w:p w14:paraId="2D920302" w14:textId="77777777" w:rsidR="00946A41" w:rsidRPr="002C6C2C" w:rsidRDefault="00946A41" w:rsidP="00B33B37">
      <w:pPr>
        <w:numPr>
          <w:ilvl w:val="0"/>
          <w:numId w:val="4"/>
        </w:numPr>
        <w:rPr>
          <w:szCs w:val="22"/>
        </w:rPr>
      </w:pPr>
      <w:r w:rsidRPr="002C6C2C">
        <w:rPr>
          <w:szCs w:val="22"/>
        </w:rPr>
        <w:t>The bidder must undertake not to publish or communicate the results or content of any of their work to anyone other than the SPSO.  This undertaking continues beyond the life of the contract.</w:t>
      </w:r>
    </w:p>
    <w:p w14:paraId="558A1D32" w14:textId="77777777" w:rsidR="00946A41" w:rsidRPr="002C6C2C" w:rsidRDefault="00946A41" w:rsidP="00B33B37">
      <w:pPr>
        <w:numPr>
          <w:ilvl w:val="0"/>
          <w:numId w:val="4"/>
        </w:numPr>
        <w:rPr>
          <w:szCs w:val="22"/>
        </w:rPr>
      </w:pPr>
      <w:r w:rsidRPr="002C6C2C">
        <w:rPr>
          <w:szCs w:val="22"/>
        </w:rPr>
        <w:t xml:space="preserve">In addition, Data protection legislation, and ATI legislation apply to all the paper and electronic data, and information, you receive and create as part of your contract with the SPSO.  You must comply with the contract, the SPSO Records Management and Security Guidance and any other specific reasonable instructions or directions from SPSO to ensure that the SPSO meets its duties under Data Protection legislation, ATI legislation (for example, FOISA, EIRs) and the Scottish Public Services Act 2002 confidentiality provisions.  </w:t>
      </w:r>
    </w:p>
    <w:p w14:paraId="2E8EED38" w14:textId="77777777" w:rsidR="00946A41" w:rsidRPr="002C6C2C" w:rsidRDefault="00946A41" w:rsidP="00B33B37">
      <w:pPr>
        <w:numPr>
          <w:ilvl w:val="0"/>
          <w:numId w:val="4"/>
        </w:numPr>
      </w:pPr>
      <w:r w:rsidRPr="002C6C2C">
        <w:rPr>
          <w:szCs w:val="22"/>
        </w:rPr>
        <w:t xml:space="preserve">Any breach of confidentiality of contract or restricted information will constitute a material breach and </w:t>
      </w:r>
      <w:r w:rsidRPr="002C6C2C">
        <w:t xml:space="preserve">enable the Ombudsman to terminate the contract. </w:t>
      </w:r>
    </w:p>
    <w:p w14:paraId="7A875E9E" w14:textId="77777777" w:rsidR="003D62BC" w:rsidRDefault="003D62BC" w:rsidP="003D62BC">
      <w:pPr>
        <w:pStyle w:val="Heading2"/>
      </w:pPr>
      <w:r>
        <w:t>Legal Disclaimer</w:t>
      </w:r>
    </w:p>
    <w:p w14:paraId="3645CEE2" w14:textId="77777777" w:rsidR="003D62BC" w:rsidRDefault="003D62BC" w:rsidP="00B33B37">
      <w:pPr>
        <w:numPr>
          <w:ilvl w:val="0"/>
          <w:numId w:val="4"/>
        </w:numPr>
      </w:pPr>
      <w:r>
        <w:t>This ITT is an invitation to propose and does not in any manner create an offer or other obligation on the part of the SPSO to enter into any contract.</w:t>
      </w:r>
    </w:p>
    <w:p w14:paraId="2F1E8BD8" w14:textId="48AAA357" w:rsidR="003D62BC" w:rsidRDefault="003D62BC" w:rsidP="00B33B37">
      <w:pPr>
        <w:numPr>
          <w:ilvl w:val="0"/>
          <w:numId w:val="4"/>
        </w:numPr>
      </w:pPr>
      <w:r>
        <w:t>All expenses</w:t>
      </w:r>
      <w:r w:rsidR="00E935B3">
        <w:t xml:space="preserve"> and costs incurred by the Provider</w:t>
      </w:r>
      <w:r>
        <w:t xml:space="preserve"> in completing, submitting and delivering the bids, together with any costs incurred during the post tender stage, will be to the applicant’s account.  The SPSO are not bound to accept the lowest or any bid.</w:t>
      </w:r>
    </w:p>
    <w:p w14:paraId="41E7ABD8" w14:textId="77777777" w:rsidR="003D62BC" w:rsidRDefault="003D62BC" w:rsidP="003D62BC">
      <w:pPr>
        <w:pStyle w:val="Heading2"/>
      </w:pPr>
      <w:r>
        <w:t>Use of Information</w:t>
      </w:r>
    </w:p>
    <w:p w14:paraId="6FB85728" w14:textId="1425519D" w:rsidR="003D62BC" w:rsidRDefault="003D62BC" w:rsidP="00B33B37">
      <w:pPr>
        <w:numPr>
          <w:ilvl w:val="0"/>
          <w:numId w:val="4"/>
        </w:numPr>
      </w:pPr>
      <w:r>
        <w:t>This ITT and any other information furnished hereunder shall be used solely for the purpose of responding to this ITT.  Reproduction of any part of this ITT is authorised only to the extent necessary for the preparation of your response</w:t>
      </w:r>
      <w:r w:rsidR="00E341F2">
        <w:t xml:space="preserve">.  All applicants </w:t>
      </w:r>
      <w:r>
        <w:t xml:space="preserve">shall ensure that all such copies are destroyed when no longer required in connection with this ITT.  The above shall supersede any confidentiality agreements between the SPSO and the </w:t>
      </w:r>
      <w:r w:rsidR="00E341F2">
        <w:t>Provider.</w:t>
      </w:r>
    </w:p>
    <w:p w14:paraId="0DF483A2" w14:textId="77777777" w:rsidR="003D62BC" w:rsidRDefault="003D62BC" w:rsidP="003D62BC">
      <w:pPr>
        <w:pStyle w:val="Heading2"/>
      </w:pPr>
      <w:r>
        <w:t>Length of contract</w:t>
      </w:r>
    </w:p>
    <w:p w14:paraId="786A991E" w14:textId="2B65310F" w:rsidR="003D62BC" w:rsidRDefault="003D62BC" w:rsidP="00B33B37">
      <w:pPr>
        <w:numPr>
          <w:ilvl w:val="0"/>
          <w:numId w:val="4"/>
        </w:numPr>
      </w:pPr>
      <w:r w:rsidRPr="00002042">
        <w:t xml:space="preserve">The </w:t>
      </w:r>
      <w:r w:rsidR="009D229B" w:rsidRPr="00002042">
        <w:t xml:space="preserve">initial </w:t>
      </w:r>
      <w:r w:rsidRPr="00002042">
        <w:t xml:space="preserve">contract will be </w:t>
      </w:r>
      <w:r w:rsidR="00E341F2" w:rsidRPr="00002042">
        <w:t xml:space="preserve">for a </w:t>
      </w:r>
      <w:r w:rsidR="009D229B" w:rsidRPr="00002042">
        <w:t>two</w:t>
      </w:r>
      <w:r w:rsidR="00C16ED9" w:rsidRPr="00002042">
        <w:t>-year</w:t>
      </w:r>
      <w:r w:rsidR="00E341F2" w:rsidRPr="00002042">
        <w:t xml:space="preserve"> term, commencing </w:t>
      </w:r>
      <w:r w:rsidR="00517F02" w:rsidRPr="00002042">
        <w:rPr>
          <w:b/>
        </w:rPr>
        <w:t>Monday</w:t>
      </w:r>
      <w:r w:rsidR="00E341F2" w:rsidRPr="00002042">
        <w:rPr>
          <w:b/>
        </w:rPr>
        <w:t xml:space="preserve"> </w:t>
      </w:r>
      <w:r w:rsidR="000E2E25" w:rsidRPr="00002042">
        <w:rPr>
          <w:b/>
        </w:rPr>
        <w:t>30 June</w:t>
      </w:r>
      <w:r w:rsidR="00946A41" w:rsidRPr="00002042">
        <w:rPr>
          <w:b/>
        </w:rPr>
        <w:t xml:space="preserve"> 2025</w:t>
      </w:r>
      <w:r w:rsidRPr="00002042">
        <w:t xml:space="preserve"> with the</w:t>
      </w:r>
      <w:r>
        <w:t xml:space="preserve"> option to extend by up to </w:t>
      </w:r>
      <w:r w:rsidR="009D229B">
        <w:t xml:space="preserve">three </w:t>
      </w:r>
      <w:r>
        <w:t>years, dependant on funding availability.</w:t>
      </w:r>
    </w:p>
    <w:p w14:paraId="6174681D" w14:textId="77777777" w:rsidR="00946A41" w:rsidRDefault="00946A41" w:rsidP="00A14928">
      <w:pPr>
        <w:pStyle w:val="Heading1"/>
      </w:pPr>
    </w:p>
    <w:p w14:paraId="71AA0E0B" w14:textId="1EEF67F8" w:rsidR="00A14928" w:rsidRDefault="00A14928" w:rsidP="00A14928">
      <w:pPr>
        <w:pStyle w:val="Heading1"/>
      </w:pPr>
      <w:bookmarkStart w:id="10" w:name="_Toc190964790"/>
      <w:r>
        <w:t>Administration of tender</w:t>
      </w:r>
      <w:bookmarkEnd w:id="10"/>
    </w:p>
    <w:p w14:paraId="23E9A892" w14:textId="77777777" w:rsidR="00A14928" w:rsidRDefault="00A14928" w:rsidP="00A14928">
      <w:pPr>
        <w:pStyle w:val="Heading2"/>
      </w:pPr>
      <w:r>
        <w:t>Contracts and Procurement Policy</w:t>
      </w:r>
    </w:p>
    <w:p w14:paraId="55F4A428" w14:textId="32D1E0DE" w:rsidR="00A14928" w:rsidRDefault="00A14928" w:rsidP="00B33B37">
      <w:pPr>
        <w:numPr>
          <w:ilvl w:val="0"/>
          <w:numId w:val="4"/>
        </w:numPr>
      </w:pPr>
      <w:r>
        <w:t xml:space="preserve">This ITT, tendering process and the eventual contract are being managed in accordance with the SPSO’s Procurement Policy.  This is available </w:t>
      </w:r>
      <w:r w:rsidR="00946A41">
        <w:t>in</w:t>
      </w:r>
      <w:r>
        <w:t xml:space="preserve"> our Finance </w:t>
      </w:r>
      <w:r w:rsidR="00A72120">
        <w:t xml:space="preserve">Policies and Procedures </w:t>
      </w:r>
      <w:r>
        <w:t xml:space="preserve">Handbook, available online as a PDF here: </w:t>
      </w:r>
      <w:hyperlink r:id="rId13" w:history="1">
        <w:r w:rsidR="00DB07D2">
          <w:rPr>
            <w:rStyle w:val="Hyperlink"/>
          </w:rPr>
          <w:t>SPSO Policies | SPSO</w:t>
        </w:r>
      </w:hyperlink>
    </w:p>
    <w:p w14:paraId="254A7870" w14:textId="77777777" w:rsidR="00A14928" w:rsidRDefault="00A14928" w:rsidP="00B33B37">
      <w:pPr>
        <w:numPr>
          <w:ilvl w:val="0"/>
          <w:numId w:val="4"/>
        </w:numPr>
      </w:pPr>
      <w:r>
        <w:t xml:space="preserve">The policy is designed to ensure that all SPSO procurement activity is focussed on the delivery of value for money and conducted to high professional standards and to the relevant legal requirements.  In particular, our Procurement Standards include Value for Money, Responsible Purchasing, Ethical Standards, Openness and transparency. </w:t>
      </w:r>
    </w:p>
    <w:p w14:paraId="0E97021B" w14:textId="2E3256FA" w:rsidR="001801E4" w:rsidRDefault="00A14928" w:rsidP="00B33B37">
      <w:pPr>
        <w:numPr>
          <w:ilvl w:val="0"/>
          <w:numId w:val="4"/>
        </w:numPr>
      </w:pPr>
      <w:r>
        <w:t xml:space="preserve">Occasionally, contractors may provide information to the SPSO on the basis that it will remain confidential and will not be disclosed in the event that an information request is made for it.  The SPSO will agree to accept information in confidence from contractors only in very limited circumstances.  Even where we do agree to accept information in confidence, the information may still be disclosed if the disclosure would no longer constitute an actionable breach of confidence, for example, if the information </w:t>
      </w:r>
      <w:r w:rsidR="00E73969">
        <w:t>were</w:t>
      </w:r>
      <w:r>
        <w:t xml:space="preserve"> no longer confidential.</w:t>
      </w:r>
    </w:p>
    <w:p w14:paraId="2C9CFCAC" w14:textId="3B9F2F73" w:rsidR="002F7AF0" w:rsidRDefault="002F7AF0">
      <w:pPr>
        <w:spacing w:after="200"/>
      </w:pPr>
      <w:r>
        <w:br w:type="page"/>
      </w:r>
    </w:p>
    <w:p w14:paraId="482B04BD" w14:textId="5F183AE0" w:rsidR="002F7AF0" w:rsidRPr="00F34FEA" w:rsidRDefault="002F7AF0" w:rsidP="002F7AF0">
      <w:pPr>
        <w:pStyle w:val="Heading2"/>
        <w:spacing w:line="276" w:lineRule="auto"/>
        <w:rPr>
          <w:i/>
        </w:rPr>
      </w:pPr>
      <w:bookmarkStart w:id="11" w:name="_Toc116038183"/>
      <w:r w:rsidRPr="00F34FEA">
        <w:t>Annex :  Section 19 of the Scottish Public Services Ombudsman Act 2002</w:t>
      </w:r>
      <w:bookmarkEnd w:id="11"/>
      <w:r w:rsidRPr="00F34FEA">
        <w:t xml:space="preserve"> </w:t>
      </w:r>
    </w:p>
    <w:p w14:paraId="3561AF30" w14:textId="77777777" w:rsidR="002F7AF0" w:rsidRPr="0076676D" w:rsidRDefault="002F7AF0" w:rsidP="002F7AF0">
      <w:pPr>
        <w:rPr>
          <w:szCs w:val="22"/>
          <w:lang w:val="en"/>
        </w:rPr>
      </w:pPr>
      <w:r w:rsidRPr="0076676D">
        <w:rPr>
          <w:rStyle w:val="legdslegp1no"/>
          <w:spacing w:val="12"/>
          <w:szCs w:val="22"/>
          <w:lang w:val="en"/>
        </w:rPr>
        <w:t>19</w:t>
      </w:r>
      <w:r w:rsidRPr="0076676D">
        <w:rPr>
          <w:szCs w:val="22"/>
          <w:lang w:val="en"/>
        </w:rPr>
        <w:t xml:space="preserve"> </w:t>
      </w:r>
      <w:r w:rsidRPr="0076676D">
        <w:rPr>
          <w:rStyle w:val="legdslegp1grouptitle"/>
          <w:spacing w:val="12"/>
          <w:szCs w:val="22"/>
          <w:lang w:val="en"/>
        </w:rPr>
        <w:t>Confidentiality of information</w:t>
      </w:r>
      <w:r w:rsidRPr="0076676D">
        <w:rPr>
          <w:szCs w:val="22"/>
          <w:lang w:val="en"/>
        </w:rPr>
        <w:t xml:space="preserve"> </w:t>
      </w:r>
    </w:p>
    <w:p w14:paraId="7F8A86D2" w14:textId="77777777" w:rsidR="002F7AF0" w:rsidRPr="0076676D" w:rsidRDefault="002F7AF0" w:rsidP="002F7AF0">
      <w:pPr>
        <w:rPr>
          <w:szCs w:val="22"/>
          <w:lang w:val="en"/>
        </w:rPr>
      </w:pPr>
      <w:r w:rsidRPr="0076676D">
        <w:rPr>
          <w:rStyle w:val="legdsleglhslegp2no"/>
          <w:szCs w:val="22"/>
          <w:lang w:val="en"/>
        </w:rPr>
        <w:t>(1)</w:t>
      </w:r>
      <w:r w:rsidRPr="0076676D">
        <w:rPr>
          <w:szCs w:val="22"/>
          <w:lang w:val="en"/>
        </w:rPr>
        <w:t xml:space="preserve"> </w:t>
      </w:r>
      <w:r w:rsidRPr="0076676D">
        <w:rPr>
          <w:rStyle w:val="legdslegrhslegp2text"/>
          <w:szCs w:val="22"/>
          <w:lang w:val="en"/>
        </w:rPr>
        <w:t>Information obtained by the Ombudsman or any of the Ombudsman’s advisers in connection with any matter in respect of which a complaint or a request has been made must not be disclosed except for any of the purposes specified in subsection (2) or as permitted by subsection (3).</w:t>
      </w:r>
      <w:r w:rsidRPr="0076676D">
        <w:rPr>
          <w:szCs w:val="22"/>
          <w:lang w:val="en"/>
        </w:rPr>
        <w:t xml:space="preserve"> </w:t>
      </w:r>
    </w:p>
    <w:p w14:paraId="006323F3" w14:textId="77777777" w:rsidR="002F7AF0" w:rsidRPr="0076676D" w:rsidRDefault="002F7AF0" w:rsidP="002F7AF0">
      <w:pPr>
        <w:rPr>
          <w:szCs w:val="22"/>
          <w:lang w:val="en"/>
        </w:rPr>
      </w:pPr>
      <w:r w:rsidRPr="0076676D">
        <w:rPr>
          <w:rStyle w:val="legdsleglhslegp2no"/>
          <w:szCs w:val="22"/>
          <w:lang w:val="en"/>
        </w:rPr>
        <w:t>(2)</w:t>
      </w:r>
      <w:r w:rsidRPr="0076676D">
        <w:rPr>
          <w:szCs w:val="22"/>
          <w:lang w:val="en"/>
        </w:rPr>
        <w:t xml:space="preserve"> </w:t>
      </w:r>
      <w:r w:rsidRPr="0076676D">
        <w:rPr>
          <w:rStyle w:val="legdslegrhslegp2text"/>
          <w:szCs w:val="22"/>
          <w:lang w:val="en"/>
        </w:rPr>
        <w:t>Those purposes are—</w:t>
      </w:r>
      <w:r w:rsidRPr="0076676D">
        <w:rPr>
          <w:szCs w:val="22"/>
          <w:lang w:val="en"/>
        </w:rPr>
        <w:t xml:space="preserve"> </w:t>
      </w:r>
    </w:p>
    <w:p w14:paraId="7666C5EA" w14:textId="77777777" w:rsidR="002F7AF0" w:rsidRPr="0076676D" w:rsidRDefault="002F7AF0" w:rsidP="002F7AF0">
      <w:pPr>
        <w:rPr>
          <w:szCs w:val="22"/>
          <w:lang w:val="en"/>
        </w:rPr>
      </w:pPr>
      <w:r w:rsidRPr="0076676D">
        <w:rPr>
          <w:rStyle w:val="legdsleglhslegp3no"/>
          <w:szCs w:val="22"/>
          <w:lang w:val="en"/>
        </w:rPr>
        <w:t>(a)</w:t>
      </w:r>
      <w:r w:rsidRPr="0076676D">
        <w:rPr>
          <w:szCs w:val="22"/>
          <w:lang w:val="en"/>
        </w:rPr>
        <w:t xml:space="preserve"> </w:t>
      </w:r>
      <w:r w:rsidRPr="0076676D">
        <w:rPr>
          <w:rStyle w:val="legdslegrhslegp3text"/>
          <w:szCs w:val="22"/>
          <w:lang w:val="en"/>
        </w:rPr>
        <w:t>the purposes of—</w:t>
      </w:r>
      <w:r w:rsidRPr="0076676D">
        <w:rPr>
          <w:szCs w:val="22"/>
          <w:lang w:val="en"/>
        </w:rPr>
        <w:t xml:space="preserve"> </w:t>
      </w:r>
    </w:p>
    <w:p w14:paraId="5FC39B64" w14:textId="77777777" w:rsidR="002F7AF0" w:rsidRPr="0076676D" w:rsidRDefault="002F7AF0" w:rsidP="002F7AF0">
      <w:pPr>
        <w:rPr>
          <w:szCs w:val="22"/>
          <w:lang w:val="en"/>
        </w:rPr>
      </w:pPr>
      <w:r w:rsidRPr="0076676D">
        <w:rPr>
          <w:rStyle w:val="legdsleglhslegp4no"/>
          <w:szCs w:val="22"/>
          <w:lang w:val="en"/>
        </w:rPr>
        <w:t>(i)</w:t>
      </w:r>
      <w:r w:rsidRPr="0076676D">
        <w:rPr>
          <w:szCs w:val="22"/>
          <w:lang w:val="en"/>
        </w:rPr>
        <w:t xml:space="preserve"> </w:t>
      </w:r>
      <w:r w:rsidRPr="0076676D">
        <w:rPr>
          <w:rStyle w:val="legdslegrhslegp4text"/>
          <w:szCs w:val="22"/>
          <w:lang w:val="en"/>
        </w:rPr>
        <w:t>any consideration of the complaint or request (including any statement under section 11),</w:t>
      </w:r>
      <w:r w:rsidRPr="0076676D">
        <w:rPr>
          <w:szCs w:val="22"/>
          <w:lang w:val="en"/>
        </w:rPr>
        <w:t xml:space="preserve"> </w:t>
      </w:r>
    </w:p>
    <w:p w14:paraId="6E2D3D71" w14:textId="77777777" w:rsidR="002F7AF0" w:rsidRPr="0076676D" w:rsidRDefault="002F7AF0" w:rsidP="002F7AF0">
      <w:pPr>
        <w:rPr>
          <w:szCs w:val="22"/>
          <w:lang w:val="en"/>
        </w:rPr>
      </w:pPr>
      <w:r w:rsidRPr="0076676D">
        <w:rPr>
          <w:rStyle w:val="legdsleglhslegp4no"/>
          <w:szCs w:val="22"/>
          <w:lang w:val="en"/>
        </w:rPr>
        <w:t>(ii)</w:t>
      </w:r>
      <w:r w:rsidRPr="0076676D">
        <w:rPr>
          <w:szCs w:val="22"/>
          <w:lang w:val="en"/>
        </w:rPr>
        <w:t xml:space="preserve"> </w:t>
      </w:r>
      <w:r w:rsidRPr="0076676D">
        <w:rPr>
          <w:rStyle w:val="legdslegrhslegp4text"/>
          <w:szCs w:val="22"/>
          <w:lang w:val="en"/>
        </w:rPr>
        <w:t>any investigation of the matter (including any report of such an investigation),</w:t>
      </w:r>
      <w:r w:rsidRPr="0076676D">
        <w:rPr>
          <w:szCs w:val="22"/>
          <w:lang w:val="en"/>
        </w:rPr>
        <w:t xml:space="preserve"> </w:t>
      </w:r>
    </w:p>
    <w:p w14:paraId="589B0A64" w14:textId="77777777" w:rsidR="002F7AF0" w:rsidRPr="0076676D" w:rsidRDefault="002F7AF0" w:rsidP="002F7AF0">
      <w:pPr>
        <w:rPr>
          <w:szCs w:val="22"/>
          <w:lang w:val="en"/>
        </w:rPr>
      </w:pPr>
      <w:r w:rsidRPr="0076676D">
        <w:rPr>
          <w:rStyle w:val="legdsleglhslegp3no"/>
          <w:szCs w:val="22"/>
          <w:lang w:val="en"/>
        </w:rPr>
        <w:t>(b)</w:t>
      </w:r>
      <w:r w:rsidRPr="0076676D">
        <w:rPr>
          <w:szCs w:val="22"/>
          <w:lang w:val="en"/>
        </w:rPr>
        <w:t xml:space="preserve"> </w:t>
      </w:r>
      <w:r w:rsidRPr="0076676D">
        <w:rPr>
          <w:rStyle w:val="legdslegrhslegp3text"/>
          <w:szCs w:val="22"/>
          <w:lang w:val="en"/>
        </w:rPr>
        <w:t>the purposes of any proceedings for—</w:t>
      </w:r>
      <w:r w:rsidRPr="0076676D">
        <w:rPr>
          <w:szCs w:val="22"/>
          <w:lang w:val="en"/>
        </w:rPr>
        <w:t xml:space="preserve"> </w:t>
      </w:r>
    </w:p>
    <w:p w14:paraId="4EEA7F5C" w14:textId="77777777" w:rsidR="002F7AF0" w:rsidRPr="0076676D" w:rsidRDefault="002F7AF0" w:rsidP="002F7AF0">
      <w:pPr>
        <w:rPr>
          <w:szCs w:val="22"/>
          <w:lang w:val="en"/>
        </w:rPr>
      </w:pPr>
      <w:r w:rsidRPr="0076676D">
        <w:rPr>
          <w:rStyle w:val="legdsleglhslegp4no"/>
          <w:szCs w:val="22"/>
          <w:lang w:val="en"/>
        </w:rPr>
        <w:t>(i)</w:t>
      </w:r>
      <w:r w:rsidRPr="0076676D">
        <w:rPr>
          <w:szCs w:val="22"/>
          <w:lang w:val="en"/>
        </w:rPr>
        <w:t xml:space="preserve"> </w:t>
      </w:r>
      <w:r w:rsidRPr="0076676D">
        <w:rPr>
          <w:rStyle w:val="legdslegrhslegp4text"/>
          <w:szCs w:val="22"/>
          <w:lang w:val="en"/>
        </w:rPr>
        <w:t>an offence under the Official Secrets Acts 1911 to 1989 alleged to have been committed in respect of information obtained by the Ombudsman,</w:t>
      </w:r>
      <w:r w:rsidRPr="0076676D">
        <w:rPr>
          <w:szCs w:val="22"/>
          <w:lang w:val="en"/>
        </w:rPr>
        <w:t xml:space="preserve"> </w:t>
      </w:r>
    </w:p>
    <w:p w14:paraId="1524CEE1" w14:textId="77777777" w:rsidR="002F7AF0" w:rsidRPr="0076676D" w:rsidRDefault="002F7AF0" w:rsidP="002F7AF0">
      <w:pPr>
        <w:rPr>
          <w:szCs w:val="22"/>
          <w:lang w:val="en"/>
        </w:rPr>
      </w:pPr>
      <w:r w:rsidRPr="0076676D">
        <w:rPr>
          <w:rStyle w:val="legdsleglhslegp4no"/>
          <w:szCs w:val="22"/>
          <w:lang w:val="en"/>
        </w:rPr>
        <w:t>(ii)</w:t>
      </w:r>
      <w:r w:rsidRPr="0076676D">
        <w:rPr>
          <w:szCs w:val="22"/>
          <w:lang w:val="en"/>
        </w:rPr>
        <w:t xml:space="preserve"> </w:t>
      </w:r>
      <w:r w:rsidRPr="0076676D">
        <w:rPr>
          <w:rStyle w:val="legdslegrhslegp4text"/>
          <w:szCs w:val="22"/>
          <w:lang w:val="en"/>
        </w:rPr>
        <w:t>an offence of perjury alleged to have been committed in the course of any investigation of the matter,</w:t>
      </w:r>
      <w:r w:rsidRPr="0076676D">
        <w:rPr>
          <w:szCs w:val="22"/>
          <w:lang w:val="en"/>
        </w:rPr>
        <w:t xml:space="preserve"> </w:t>
      </w:r>
    </w:p>
    <w:p w14:paraId="40215B24" w14:textId="77777777" w:rsidR="002F7AF0" w:rsidRPr="0076676D" w:rsidRDefault="002F7AF0" w:rsidP="002F7AF0">
      <w:pPr>
        <w:rPr>
          <w:szCs w:val="22"/>
          <w:lang w:val="en"/>
        </w:rPr>
      </w:pPr>
      <w:r w:rsidRPr="0076676D">
        <w:rPr>
          <w:rStyle w:val="legdsleglhslegp3no"/>
          <w:szCs w:val="22"/>
          <w:lang w:val="en"/>
        </w:rPr>
        <w:t>(c)</w:t>
      </w:r>
      <w:r w:rsidRPr="0076676D">
        <w:rPr>
          <w:szCs w:val="22"/>
          <w:lang w:val="en"/>
        </w:rPr>
        <w:t xml:space="preserve"> </w:t>
      </w:r>
      <w:r w:rsidRPr="0076676D">
        <w:rPr>
          <w:rStyle w:val="legdslegrhslegp3text"/>
          <w:szCs w:val="22"/>
          <w:lang w:val="en"/>
        </w:rPr>
        <w:t>the purposes of an inquiry with a view to the taking of any of the proceedings mentioned in paragraph (b),</w:t>
      </w:r>
      <w:r w:rsidRPr="0076676D">
        <w:rPr>
          <w:szCs w:val="22"/>
          <w:lang w:val="en"/>
        </w:rPr>
        <w:t xml:space="preserve"> </w:t>
      </w:r>
    </w:p>
    <w:p w14:paraId="5AB23FE7" w14:textId="77777777" w:rsidR="002F7AF0" w:rsidRPr="0076676D" w:rsidRDefault="002F7AF0" w:rsidP="002F7AF0">
      <w:pPr>
        <w:rPr>
          <w:szCs w:val="22"/>
          <w:lang w:val="en"/>
        </w:rPr>
      </w:pPr>
      <w:r w:rsidRPr="0076676D">
        <w:rPr>
          <w:rStyle w:val="legdsleglhslegp3no"/>
          <w:szCs w:val="22"/>
          <w:lang w:val="en"/>
        </w:rPr>
        <w:t>(d)</w:t>
      </w:r>
      <w:r w:rsidRPr="0076676D">
        <w:rPr>
          <w:szCs w:val="22"/>
          <w:lang w:val="en"/>
        </w:rPr>
        <w:t xml:space="preserve"> </w:t>
      </w:r>
      <w:r w:rsidRPr="0076676D">
        <w:rPr>
          <w:rStyle w:val="legdslegrhslegp3text"/>
          <w:szCs w:val="22"/>
          <w:lang w:val="en"/>
        </w:rPr>
        <w:t>the purposes of any proceedings under section 14.</w:t>
      </w:r>
      <w:r w:rsidRPr="0076676D">
        <w:rPr>
          <w:szCs w:val="22"/>
          <w:lang w:val="en"/>
        </w:rPr>
        <w:t xml:space="preserve"> </w:t>
      </w:r>
    </w:p>
    <w:p w14:paraId="034A7A3B" w14:textId="77777777" w:rsidR="002F7AF0" w:rsidRPr="0076676D" w:rsidRDefault="002F7AF0" w:rsidP="002F7AF0">
      <w:pPr>
        <w:rPr>
          <w:szCs w:val="22"/>
          <w:lang w:val="en"/>
        </w:rPr>
      </w:pPr>
      <w:r w:rsidRPr="0076676D">
        <w:rPr>
          <w:rStyle w:val="legdsleglhslegp2no"/>
          <w:szCs w:val="22"/>
          <w:lang w:val="en"/>
        </w:rPr>
        <w:t>(3)</w:t>
      </w:r>
      <w:r w:rsidRPr="0076676D">
        <w:rPr>
          <w:szCs w:val="22"/>
          <w:lang w:val="en"/>
        </w:rPr>
        <w:t xml:space="preserve"> </w:t>
      </w:r>
      <w:r w:rsidRPr="0076676D">
        <w:rPr>
          <w:rStyle w:val="legdslegrhslegp2text"/>
          <w:szCs w:val="22"/>
          <w:lang w:val="en"/>
        </w:rPr>
        <w:t>Where information referred to in subsection (1) is to the effect that any person is likely to constitute a threat to the health or safety of patients, the Ombudsman may disclose the information to any person to whom the Ombudsman thinks it should be disclosed in the interests of the health and safety of patients.</w:t>
      </w:r>
      <w:r w:rsidRPr="0076676D">
        <w:rPr>
          <w:szCs w:val="22"/>
          <w:lang w:val="en"/>
        </w:rPr>
        <w:t xml:space="preserve"> </w:t>
      </w:r>
    </w:p>
    <w:p w14:paraId="5B3FDFD5" w14:textId="77777777" w:rsidR="002F7AF0" w:rsidRPr="0076676D" w:rsidRDefault="002F7AF0" w:rsidP="002F7AF0">
      <w:pPr>
        <w:rPr>
          <w:szCs w:val="22"/>
          <w:lang w:val="en"/>
        </w:rPr>
      </w:pPr>
      <w:r w:rsidRPr="0076676D">
        <w:rPr>
          <w:rStyle w:val="legdsleglhslegp2no"/>
          <w:szCs w:val="22"/>
          <w:lang w:val="en"/>
        </w:rPr>
        <w:t>(4)</w:t>
      </w:r>
      <w:r w:rsidRPr="0076676D">
        <w:rPr>
          <w:szCs w:val="22"/>
          <w:lang w:val="en"/>
        </w:rPr>
        <w:t xml:space="preserve"> </w:t>
      </w:r>
      <w:r w:rsidRPr="0076676D">
        <w:rPr>
          <w:rStyle w:val="legdslegrhslegp2text"/>
          <w:szCs w:val="22"/>
          <w:lang w:val="en"/>
        </w:rPr>
        <w:t>In relation to information disclosed under subsection (3), the Ombudsman must—</w:t>
      </w:r>
      <w:r w:rsidRPr="0076676D">
        <w:rPr>
          <w:szCs w:val="22"/>
          <w:lang w:val="en"/>
        </w:rPr>
        <w:t xml:space="preserve"> </w:t>
      </w:r>
    </w:p>
    <w:p w14:paraId="3C7AC347" w14:textId="77777777" w:rsidR="002F7AF0" w:rsidRPr="0076676D" w:rsidRDefault="002F7AF0" w:rsidP="002F7AF0">
      <w:pPr>
        <w:rPr>
          <w:szCs w:val="22"/>
          <w:lang w:val="en"/>
        </w:rPr>
      </w:pPr>
      <w:r w:rsidRPr="0076676D">
        <w:rPr>
          <w:rStyle w:val="legdsleglhslegp3no"/>
          <w:szCs w:val="22"/>
          <w:lang w:val="en"/>
        </w:rPr>
        <w:t>(a)</w:t>
      </w:r>
      <w:r w:rsidRPr="0076676D">
        <w:rPr>
          <w:szCs w:val="22"/>
          <w:lang w:val="en"/>
        </w:rPr>
        <w:t xml:space="preserve"> </w:t>
      </w:r>
      <w:r w:rsidRPr="0076676D">
        <w:rPr>
          <w:rStyle w:val="legdslegrhslegp3text"/>
          <w:szCs w:val="22"/>
          <w:lang w:val="en"/>
        </w:rPr>
        <w:t>where the Ombudsman knows the identity of the person to whom the information relates, inform that person of the disclosure of the information and of the identity of the person to whom it has been disclosed, and</w:t>
      </w:r>
      <w:r w:rsidRPr="0076676D">
        <w:rPr>
          <w:szCs w:val="22"/>
          <w:lang w:val="en"/>
        </w:rPr>
        <w:t xml:space="preserve"> </w:t>
      </w:r>
    </w:p>
    <w:p w14:paraId="4CA23D8E" w14:textId="77777777" w:rsidR="002F7AF0" w:rsidRPr="0076676D" w:rsidRDefault="002F7AF0" w:rsidP="002F7AF0">
      <w:pPr>
        <w:rPr>
          <w:szCs w:val="22"/>
          <w:lang w:val="en"/>
        </w:rPr>
      </w:pPr>
      <w:r w:rsidRPr="0076676D">
        <w:rPr>
          <w:rStyle w:val="legdsleglhslegp3no"/>
          <w:szCs w:val="22"/>
          <w:lang w:val="en"/>
        </w:rPr>
        <w:t>(b)</w:t>
      </w:r>
      <w:r w:rsidRPr="0076676D">
        <w:rPr>
          <w:szCs w:val="22"/>
          <w:lang w:val="en"/>
        </w:rPr>
        <w:t xml:space="preserve"> </w:t>
      </w:r>
      <w:r w:rsidRPr="0076676D">
        <w:rPr>
          <w:rStyle w:val="legdslegrhslegp3text"/>
          <w:szCs w:val="22"/>
          <w:lang w:val="en"/>
        </w:rPr>
        <w:t>inform the person from whom the information was obtained of the disclosure.</w:t>
      </w:r>
      <w:r w:rsidRPr="0076676D">
        <w:rPr>
          <w:szCs w:val="22"/>
          <w:lang w:val="en"/>
        </w:rPr>
        <w:t xml:space="preserve"> </w:t>
      </w:r>
    </w:p>
    <w:p w14:paraId="0720445C" w14:textId="77777777" w:rsidR="002F7AF0" w:rsidRPr="0076676D" w:rsidRDefault="002F7AF0" w:rsidP="002F7AF0">
      <w:pPr>
        <w:rPr>
          <w:szCs w:val="22"/>
          <w:lang w:val="en"/>
        </w:rPr>
      </w:pPr>
      <w:r w:rsidRPr="0076676D">
        <w:rPr>
          <w:rStyle w:val="legdsleglhslegp2no"/>
          <w:szCs w:val="22"/>
          <w:lang w:val="en"/>
        </w:rPr>
        <w:t>(5)</w:t>
      </w:r>
      <w:r w:rsidRPr="0076676D">
        <w:rPr>
          <w:szCs w:val="22"/>
          <w:lang w:val="en"/>
        </w:rPr>
        <w:t xml:space="preserve"> </w:t>
      </w:r>
      <w:r w:rsidRPr="0076676D">
        <w:rPr>
          <w:rStyle w:val="legdslegrhslegp2text"/>
          <w:szCs w:val="22"/>
          <w:lang w:val="en"/>
        </w:rPr>
        <w:t>It is not competent to call upon the Ombudsman or the Ombudsman’s advisers to give evidence in any proceedings (other than proceedings referred to in subsection (2)) of matters coming to the knowledge of the Ombudsman or advisers in connection with any matter in respect of which a complaint or request has been made.</w:t>
      </w:r>
      <w:r w:rsidRPr="0076676D">
        <w:rPr>
          <w:szCs w:val="22"/>
          <w:lang w:val="en"/>
        </w:rPr>
        <w:t xml:space="preserve"> </w:t>
      </w:r>
    </w:p>
    <w:p w14:paraId="7BEB33BE" w14:textId="77777777" w:rsidR="002F7AF0" w:rsidRPr="0076676D" w:rsidRDefault="002F7AF0" w:rsidP="002F7AF0">
      <w:pPr>
        <w:rPr>
          <w:szCs w:val="22"/>
          <w:lang w:val="en"/>
        </w:rPr>
      </w:pPr>
      <w:r w:rsidRPr="0076676D">
        <w:rPr>
          <w:rStyle w:val="legdsleglhslegp2no"/>
          <w:szCs w:val="22"/>
          <w:lang w:val="en"/>
        </w:rPr>
        <w:t>(6)</w:t>
      </w:r>
      <w:r w:rsidRPr="0076676D">
        <w:rPr>
          <w:szCs w:val="22"/>
          <w:lang w:val="en"/>
        </w:rPr>
        <w:t xml:space="preserve"> </w:t>
      </w:r>
      <w:r w:rsidRPr="0076676D">
        <w:rPr>
          <w:rStyle w:val="legdslegrhslegp2text"/>
          <w:szCs w:val="22"/>
          <w:lang w:val="en"/>
        </w:rPr>
        <w:t>A member of the Scottish Executive may give notice in writing to the Ombudsman with respect to—</w:t>
      </w:r>
      <w:r w:rsidRPr="0076676D">
        <w:rPr>
          <w:szCs w:val="22"/>
          <w:lang w:val="en"/>
        </w:rPr>
        <w:t xml:space="preserve"> </w:t>
      </w:r>
    </w:p>
    <w:p w14:paraId="092CF451" w14:textId="77777777" w:rsidR="002F7AF0" w:rsidRPr="0076676D" w:rsidRDefault="002F7AF0" w:rsidP="002F7AF0">
      <w:pPr>
        <w:rPr>
          <w:szCs w:val="22"/>
          <w:lang w:val="en"/>
        </w:rPr>
      </w:pPr>
      <w:r w:rsidRPr="0076676D">
        <w:rPr>
          <w:rStyle w:val="legdsleglhslegp3no"/>
          <w:szCs w:val="22"/>
          <w:lang w:val="en"/>
        </w:rPr>
        <w:t>(a)</w:t>
      </w:r>
      <w:r w:rsidRPr="0076676D">
        <w:rPr>
          <w:szCs w:val="22"/>
          <w:lang w:val="en"/>
        </w:rPr>
        <w:t xml:space="preserve"> </w:t>
      </w:r>
      <w:r w:rsidRPr="0076676D">
        <w:rPr>
          <w:rStyle w:val="legdslegrhslegp3text"/>
          <w:szCs w:val="22"/>
          <w:lang w:val="en"/>
        </w:rPr>
        <w:t>any document or information specified in the notice, or</w:t>
      </w:r>
      <w:r w:rsidRPr="0076676D">
        <w:rPr>
          <w:szCs w:val="22"/>
          <w:lang w:val="en"/>
        </w:rPr>
        <w:t xml:space="preserve"> </w:t>
      </w:r>
    </w:p>
    <w:p w14:paraId="1CA5774F" w14:textId="77777777" w:rsidR="002F7AF0" w:rsidRPr="0076676D" w:rsidRDefault="002F7AF0" w:rsidP="002F7AF0">
      <w:pPr>
        <w:rPr>
          <w:szCs w:val="22"/>
          <w:lang w:val="en"/>
        </w:rPr>
      </w:pPr>
      <w:r w:rsidRPr="0076676D">
        <w:rPr>
          <w:rStyle w:val="legdsleglhslegp3no"/>
          <w:szCs w:val="22"/>
          <w:lang w:val="en"/>
        </w:rPr>
        <w:t>(b)</w:t>
      </w:r>
      <w:r w:rsidRPr="0076676D">
        <w:rPr>
          <w:szCs w:val="22"/>
          <w:lang w:val="en"/>
        </w:rPr>
        <w:t xml:space="preserve"> </w:t>
      </w:r>
      <w:r w:rsidRPr="0076676D">
        <w:rPr>
          <w:rStyle w:val="legdslegrhslegp3text"/>
          <w:szCs w:val="22"/>
          <w:lang w:val="en"/>
        </w:rPr>
        <w:t>any class of document or information so specified,</w:t>
      </w:r>
      <w:r w:rsidRPr="0076676D">
        <w:rPr>
          <w:szCs w:val="22"/>
          <w:lang w:val="en"/>
        </w:rPr>
        <w:t xml:space="preserve"> </w:t>
      </w:r>
    </w:p>
    <w:p w14:paraId="12DEC7CD" w14:textId="77777777" w:rsidR="002F7AF0" w:rsidRPr="0076676D" w:rsidRDefault="002F7AF0" w:rsidP="002F7AF0">
      <w:pPr>
        <w:rPr>
          <w:szCs w:val="22"/>
          <w:lang w:val="en"/>
        </w:rPr>
      </w:pPr>
      <w:r w:rsidRPr="0076676D">
        <w:rPr>
          <w:szCs w:val="22"/>
          <w:lang w:val="en"/>
        </w:rPr>
        <w:t>that, in the opinion of the member of the Scottish Executive, the disclosure of the document or information, or of documents or information of that class, would be contrary to the public interest.</w:t>
      </w:r>
    </w:p>
    <w:p w14:paraId="07A3BC7F" w14:textId="77777777" w:rsidR="002F7AF0" w:rsidRPr="0076676D" w:rsidRDefault="002F7AF0" w:rsidP="002F7AF0">
      <w:pPr>
        <w:rPr>
          <w:szCs w:val="22"/>
          <w:lang w:val="en"/>
        </w:rPr>
      </w:pPr>
      <w:r w:rsidRPr="0076676D">
        <w:rPr>
          <w:rStyle w:val="legdsleglhslegp2no"/>
          <w:szCs w:val="22"/>
          <w:lang w:val="en"/>
        </w:rPr>
        <w:t>(7)</w:t>
      </w:r>
      <w:r w:rsidRPr="0076676D">
        <w:rPr>
          <w:szCs w:val="22"/>
          <w:lang w:val="en"/>
        </w:rPr>
        <w:t xml:space="preserve"> </w:t>
      </w:r>
      <w:r w:rsidRPr="0076676D">
        <w:rPr>
          <w:rStyle w:val="legdslegrhslegp2text"/>
          <w:szCs w:val="22"/>
          <w:lang w:val="en"/>
        </w:rPr>
        <w:t>Where such a notice is given nothing in this Act is to be construed as authorising or requiring the Ombudsman or any of the Ombudsman’s advisers to communicate to any person or for any purpose any document or information specified in the notice, or any document or information of a class so specified.</w:t>
      </w:r>
      <w:r w:rsidRPr="0076676D">
        <w:rPr>
          <w:szCs w:val="22"/>
          <w:lang w:val="en"/>
        </w:rPr>
        <w:t xml:space="preserve"> </w:t>
      </w:r>
    </w:p>
    <w:p w14:paraId="2F831061" w14:textId="77777777" w:rsidR="002F7AF0" w:rsidRPr="0076676D" w:rsidRDefault="002F7AF0" w:rsidP="002F7AF0">
      <w:pPr>
        <w:rPr>
          <w:szCs w:val="22"/>
          <w:lang w:val="en"/>
        </w:rPr>
      </w:pPr>
      <w:r w:rsidRPr="0076676D">
        <w:rPr>
          <w:rStyle w:val="legdsleglhslegp2no"/>
          <w:szCs w:val="22"/>
          <w:lang w:val="en"/>
        </w:rPr>
        <w:t>(8)</w:t>
      </w:r>
      <w:r w:rsidRPr="0076676D">
        <w:rPr>
          <w:szCs w:val="22"/>
          <w:lang w:val="en"/>
        </w:rPr>
        <w:t xml:space="preserve"> </w:t>
      </w:r>
      <w:r w:rsidRPr="0076676D">
        <w:rPr>
          <w:rStyle w:val="legdslegrhslegp2text"/>
          <w:szCs w:val="22"/>
          <w:lang w:val="en"/>
        </w:rPr>
        <w:t xml:space="preserve">Information obtained from the Information Commissioner by virtue of section 76 of the Freedom of Information Act </w:t>
      </w:r>
      <w:hyperlink r:id="rId14" w:history="1">
        <w:r w:rsidRPr="0076676D">
          <w:rPr>
            <w:rStyle w:val="legdslegrhslegp2text"/>
            <w:color w:val="333399"/>
            <w:szCs w:val="22"/>
            <w:lang w:val="en"/>
          </w:rPr>
          <w:t>2000 (c. 36)</w:t>
        </w:r>
      </w:hyperlink>
      <w:r w:rsidRPr="0076676D">
        <w:rPr>
          <w:rStyle w:val="legdslegrhslegp2text"/>
          <w:szCs w:val="22"/>
          <w:lang w:val="en"/>
        </w:rPr>
        <w:t xml:space="preserve"> is to be treated for the purposes of subsection (1) as obtained in connection with any matter in respect of which a complaint or request has been made.</w:t>
      </w:r>
      <w:r w:rsidRPr="0076676D">
        <w:rPr>
          <w:szCs w:val="22"/>
          <w:lang w:val="en"/>
        </w:rPr>
        <w:t xml:space="preserve"> </w:t>
      </w:r>
    </w:p>
    <w:p w14:paraId="52183493" w14:textId="77777777" w:rsidR="002F7AF0" w:rsidRPr="0076676D" w:rsidRDefault="002F7AF0" w:rsidP="002F7AF0">
      <w:pPr>
        <w:rPr>
          <w:szCs w:val="22"/>
          <w:lang w:val="en"/>
        </w:rPr>
      </w:pPr>
      <w:r w:rsidRPr="0076676D">
        <w:rPr>
          <w:rStyle w:val="legdsleglhslegp2no"/>
          <w:szCs w:val="22"/>
          <w:lang w:val="en"/>
        </w:rPr>
        <w:t>(9)</w:t>
      </w:r>
      <w:r w:rsidRPr="0076676D">
        <w:rPr>
          <w:szCs w:val="22"/>
          <w:lang w:val="en"/>
        </w:rPr>
        <w:t xml:space="preserve"> </w:t>
      </w:r>
      <w:r w:rsidRPr="0076676D">
        <w:rPr>
          <w:rStyle w:val="legdslegrhslegp2text"/>
          <w:szCs w:val="22"/>
          <w:lang w:val="en"/>
        </w:rPr>
        <w:t>In relation to such information, subsection (2)(a) has effect as if—</w:t>
      </w:r>
      <w:r w:rsidRPr="0076676D">
        <w:rPr>
          <w:szCs w:val="22"/>
          <w:lang w:val="en"/>
        </w:rPr>
        <w:t xml:space="preserve"> </w:t>
      </w:r>
    </w:p>
    <w:p w14:paraId="05A5D55B" w14:textId="77777777" w:rsidR="002F7AF0" w:rsidRPr="0076676D" w:rsidRDefault="002F7AF0" w:rsidP="002F7AF0">
      <w:pPr>
        <w:rPr>
          <w:szCs w:val="22"/>
          <w:lang w:val="en"/>
        </w:rPr>
      </w:pPr>
      <w:r w:rsidRPr="0076676D">
        <w:rPr>
          <w:rStyle w:val="legdsleglhslegp3no"/>
          <w:szCs w:val="22"/>
          <w:lang w:val="en"/>
        </w:rPr>
        <w:t>(a)</w:t>
      </w:r>
      <w:r w:rsidRPr="0076676D">
        <w:rPr>
          <w:szCs w:val="22"/>
          <w:lang w:val="en"/>
        </w:rPr>
        <w:t xml:space="preserve"> </w:t>
      </w:r>
      <w:r w:rsidRPr="0076676D">
        <w:rPr>
          <w:rStyle w:val="legdslegrhslegp3text"/>
          <w:szCs w:val="22"/>
          <w:lang w:val="en"/>
        </w:rPr>
        <w:t>the reference in sub-paragraph (i) to the complaint or request were a reference to any complaint or request, and</w:t>
      </w:r>
      <w:r w:rsidRPr="0076676D">
        <w:rPr>
          <w:szCs w:val="22"/>
          <w:lang w:val="en"/>
        </w:rPr>
        <w:t xml:space="preserve"> </w:t>
      </w:r>
    </w:p>
    <w:p w14:paraId="45F6B164" w14:textId="77777777" w:rsidR="002F7AF0" w:rsidRPr="0076676D" w:rsidRDefault="002F7AF0" w:rsidP="002F7AF0">
      <w:pPr>
        <w:rPr>
          <w:szCs w:val="22"/>
          <w:lang w:val="en"/>
        </w:rPr>
      </w:pPr>
      <w:r w:rsidRPr="0076676D">
        <w:rPr>
          <w:rStyle w:val="legdsleglhslegp3no"/>
          <w:szCs w:val="22"/>
          <w:lang w:val="en"/>
        </w:rPr>
        <w:t>(b)</w:t>
      </w:r>
      <w:r w:rsidRPr="0076676D">
        <w:rPr>
          <w:szCs w:val="22"/>
          <w:lang w:val="en"/>
        </w:rPr>
        <w:t xml:space="preserve"> </w:t>
      </w:r>
      <w:r w:rsidRPr="0076676D">
        <w:rPr>
          <w:rStyle w:val="legdslegrhslegp3text"/>
          <w:szCs w:val="22"/>
          <w:lang w:val="en"/>
        </w:rPr>
        <w:t>the reference in sub-paragraph (ii) to the matter were a reference to any matter.</w:t>
      </w:r>
      <w:r w:rsidRPr="0076676D">
        <w:rPr>
          <w:szCs w:val="22"/>
          <w:lang w:val="en"/>
        </w:rPr>
        <w:t xml:space="preserve"> </w:t>
      </w:r>
    </w:p>
    <w:p w14:paraId="64EC2611" w14:textId="0CAAA2CB" w:rsidR="00A14928" w:rsidRPr="00251C6B" w:rsidRDefault="002F7AF0" w:rsidP="00251C6B">
      <w:pPr>
        <w:rPr>
          <w:szCs w:val="22"/>
          <w:lang w:val="en"/>
        </w:rPr>
      </w:pPr>
      <w:r w:rsidRPr="0076676D">
        <w:rPr>
          <w:rStyle w:val="legdsleglhslegp2no"/>
          <w:szCs w:val="22"/>
          <w:lang w:val="en"/>
        </w:rPr>
        <w:t>(10)</w:t>
      </w:r>
      <w:r w:rsidRPr="0076676D">
        <w:rPr>
          <w:szCs w:val="22"/>
          <w:lang w:val="en"/>
        </w:rPr>
        <w:t xml:space="preserve"> </w:t>
      </w:r>
      <w:r w:rsidRPr="0076676D">
        <w:rPr>
          <w:rStyle w:val="legdslegrhslegp2text"/>
          <w:szCs w:val="22"/>
          <w:lang w:val="en"/>
        </w:rPr>
        <w:t>In this section and section 20 references to the Ombudsman’s advisers are to persons from whom the Ombudsman obtains advice under paragraph 10 of schedule</w:t>
      </w:r>
    </w:p>
    <w:sectPr w:rsidR="00A14928" w:rsidRPr="00251C6B" w:rsidSect="008309B9">
      <w:headerReference w:type="default" r:id="rId15"/>
      <w:footerReference w:type="default" r:id="rId16"/>
      <w:pgSz w:w="11906" w:h="16838" w:code="9"/>
      <w:pgMar w:top="1440" w:right="1133"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EA8DE" w14:textId="77777777" w:rsidR="008B2785" w:rsidRDefault="008B2785" w:rsidP="00A14928">
      <w:pPr>
        <w:spacing w:after="0" w:line="240" w:lineRule="auto"/>
      </w:pPr>
      <w:r>
        <w:separator/>
      </w:r>
    </w:p>
  </w:endnote>
  <w:endnote w:type="continuationSeparator" w:id="0">
    <w:p w14:paraId="3A96931F" w14:textId="77777777" w:rsidR="008B2785" w:rsidRDefault="008B2785" w:rsidP="00A14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7A8E" w14:textId="719200DD" w:rsidR="00A14928" w:rsidRDefault="00A14928" w:rsidP="00A14928">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D5DBD">
      <w:rPr>
        <w:b/>
        <w:bCs/>
        <w:noProof/>
      </w:rPr>
      <w:t>4</w:t>
    </w:r>
    <w:r>
      <w:rPr>
        <w:b/>
        <w:bCs/>
      </w:rPr>
      <w:fldChar w:fldCharType="end"/>
    </w:r>
    <w:r>
      <w:t xml:space="preserve"> of </w:t>
    </w:r>
    <w:r>
      <w:rPr>
        <w:b/>
        <w:bCs/>
      </w:rPr>
      <w:fldChar w:fldCharType="begin"/>
    </w:r>
    <w:r>
      <w:rPr>
        <w:b/>
        <w:bCs/>
      </w:rPr>
      <w:instrText xml:space="preserve"> SECTIONPAGES   \* MERGEFORMAT </w:instrText>
    </w:r>
    <w:r>
      <w:rPr>
        <w:b/>
        <w:bCs/>
      </w:rPr>
      <w:fldChar w:fldCharType="separate"/>
    </w:r>
    <w:r w:rsidR="00A82E87">
      <w:rPr>
        <w:b/>
        <w:bCs/>
        <w:noProof/>
      </w:rPr>
      <w:t>11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E1091" w14:textId="77777777" w:rsidR="008B2785" w:rsidRDefault="008B2785" w:rsidP="00A14928">
      <w:pPr>
        <w:spacing w:after="0" w:line="240" w:lineRule="auto"/>
      </w:pPr>
      <w:r>
        <w:separator/>
      </w:r>
    </w:p>
  </w:footnote>
  <w:footnote w:type="continuationSeparator" w:id="0">
    <w:p w14:paraId="1FC1C95C" w14:textId="77777777" w:rsidR="008B2785" w:rsidRDefault="008B2785" w:rsidP="00A14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40087" w14:textId="77777777" w:rsidR="00A14928" w:rsidRDefault="00A14928">
    <w:pPr>
      <w:pStyle w:val="Header"/>
    </w:pPr>
    <w:r w:rsidRPr="00A33123">
      <w:rPr>
        <w:noProof/>
        <w:lang w:eastAsia="en-GB"/>
      </w:rPr>
      <w:drawing>
        <wp:anchor distT="0" distB="0" distL="114300" distR="114300" simplePos="0" relativeHeight="251659264" behindDoc="1" locked="0" layoutInCell="1" allowOverlap="1" wp14:anchorId="2D955629" wp14:editId="551738FC">
          <wp:simplePos x="0" y="0"/>
          <wp:positionH relativeFrom="column">
            <wp:posOffset>5124450</wp:posOffset>
          </wp:positionH>
          <wp:positionV relativeFrom="paragraph">
            <wp:posOffset>-171450</wp:posOffset>
          </wp:positionV>
          <wp:extent cx="646430" cy="458470"/>
          <wp:effectExtent l="0" t="0" r="1270" b="0"/>
          <wp:wrapNone/>
          <wp:docPr id="5" name="Picture 5" descr="C:\Users\n320514\Pictures\Saved Pictures\000 New SPSO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320514\Pictures\Saved Pictures\000 New SPSO logo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430" cy="458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D64C3"/>
    <w:multiLevelType w:val="multilevel"/>
    <w:tmpl w:val="0809001D"/>
    <w:styleLink w:val="My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1A2BD6"/>
    <w:multiLevelType w:val="hybridMultilevel"/>
    <w:tmpl w:val="DD186B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49E09B9"/>
    <w:multiLevelType w:val="multilevel"/>
    <w:tmpl w:val="0660FDC4"/>
    <w:lvl w:ilvl="0">
      <w:start w:val="1"/>
      <w:numFmt w:val="decimal"/>
      <w:lvlText w:val="%1)"/>
      <w:lvlJc w:val="left"/>
      <w:pPr>
        <w:ind w:left="360" w:hanging="360"/>
      </w:pPr>
      <w:rPr>
        <w:rFonts w:hint="default"/>
        <w:sz w:val="22"/>
      </w:rPr>
    </w:lvl>
    <w:lvl w:ilvl="1">
      <w:start w:val="1"/>
      <w:numFmt w:val="lowerRoman"/>
      <w:lvlText w:val="%2."/>
      <w:lvlJc w:val="righ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1B06BDE"/>
    <w:multiLevelType w:val="multilevel"/>
    <w:tmpl w:val="43CEA8FA"/>
    <w:numStyleLink w:val="mystyle"/>
  </w:abstractNum>
  <w:abstractNum w:abstractNumId="4" w15:restartNumberingAfterBreak="0">
    <w:nsid w:val="652C1161"/>
    <w:multiLevelType w:val="singleLevel"/>
    <w:tmpl w:val="2DBCFD54"/>
    <w:lvl w:ilvl="0">
      <w:start w:val="1"/>
      <w:numFmt w:val="bullet"/>
      <w:pStyle w:val="Bulletted"/>
      <w:lvlText w:val=""/>
      <w:lvlJc w:val="left"/>
      <w:pPr>
        <w:tabs>
          <w:tab w:val="num" w:pos="360"/>
        </w:tabs>
        <w:ind w:left="360" w:hanging="360"/>
      </w:pPr>
      <w:rPr>
        <w:rFonts w:ascii="Symbol" w:hAnsi="Symbol" w:hint="default"/>
      </w:rPr>
    </w:lvl>
  </w:abstractNum>
  <w:abstractNum w:abstractNumId="5" w15:restartNumberingAfterBreak="0">
    <w:nsid w:val="6A980724"/>
    <w:multiLevelType w:val="hybridMultilevel"/>
    <w:tmpl w:val="B86A4FF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E85374A"/>
    <w:multiLevelType w:val="multilevel"/>
    <w:tmpl w:val="43CEA8FA"/>
    <w:styleLink w:val="mystyle"/>
    <w:lvl w:ilvl="0">
      <w:start w:val="1"/>
      <w:numFmt w:val="decimal"/>
      <w:lvlText w:val="%1."/>
      <w:lvlJc w:val="left"/>
      <w:pPr>
        <w:ind w:left="567" w:hanging="567"/>
      </w:pPr>
      <w:rPr>
        <w:rFonts w:ascii="Arial" w:hAnsi="Arial" w:hint="default"/>
        <w:sz w:val="22"/>
      </w:rPr>
    </w:lvl>
    <w:lvl w:ilvl="1">
      <w:start w:val="1"/>
      <w:numFmt w:val="decimal"/>
      <w:lvlText w:val="%1.%2."/>
      <w:lvlJc w:val="left"/>
      <w:pPr>
        <w:ind w:left="1134" w:hanging="567"/>
      </w:pPr>
      <w:rPr>
        <w:rFonts w:hint="default"/>
      </w:rPr>
    </w:lvl>
    <w:lvl w:ilvl="2">
      <w:start w:val="1"/>
      <w:numFmt w:val="decimal"/>
      <w:lvlText w:val="%1.%2.%3."/>
      <w:lvlJc w:val="left"/>
      <w:pPr>
        <w:ind w:left="1559" w:hanging="850"/>
      </w:pPr>
      <w:rPr>
        <w:rFonts w:hint="default"/>
      </w:rPr>
    </w:lvl>
    <w:lvl w:ilvl="3">
      <w:start w:val="1"/>
      <w:numFmt w:val="decimal"/>
      <w:lvlText w:val="%1.%2.%3.%4."/>
      <w:lvlJc w:val="left"/>
      <w:pPr>
        <w:ind w:left="2126" w:hanging="1134"/>
      </w:pPr>
      <w:rPr>
        <w:rFonts w:hint="default"/>
      </w:rPr>
    </w:lvl>
    <w:lvl w:ilvl="4">
      <w:start w:val="1"/>
      <w:numFmt w:val="bullet"/>
      <w:lvlText w:val=""/>
      <w:lvlJc w:val="left"/>
      <w:pPr>
        <w:ind w:left="567" w:hanging="283"/>
      </w:pPr>
      <w:rPr>
        <w:rFonts w:ascii="Symbol" w:hAnsi="Symbol" w:hint="default"/>
        <w:color w:val="auto"/>
      </w:rPr>
    </w:lvl>
    <w:lvl w:ilvl="5">
      <w:start w:val="1"/>
      <w:numFmt w:val="bullet"/>
      <w:lvlText w:val=""/>
      <w:lvlJc w:val="left"/>
      <w:pPr>
        <w:tabs>
          <w:tab w:val="num" w:pos="14175"/>
        </w:tabs>
        <w:ind w:left="851" w:hanging="284"/>
      </w:pPr>
      <w:rPr>
        <w:rFonts w:ascii="Symbol" w:hAnsi="Symbol" w:hint="default"/>
        <w:color w:val="auto"/>
      </w:rPr>
    </w:lvl>
    <w:lvl w:ilvl="6">
      <w:start w:val="1"/>
      <w:numFmt w:val="bullet"/>
      <w:lvlText w:val=""/>
      <w:lvlJc w:val="left"/>
      <w:pPr>
        <w:tabs>
          <w:tab w:val="num" w:pos="17010"/>
        </w:tabs>
        <w:ind w:left="1276" w:hanging="284"/>
      </w:pPr>
      <w:rPr>
        <w:rFonts w:ascii="Symbol" w:hAnsi="Symbol" w:hint="default"/>
        <w:color w:val="auto"/>
      </w:rPr>
    </w:lvl>
    <w:lvl w:ilvl="7">
      <w:start w:val="1"/>
      <w:numFmt w:val="none"/>
      <w:lvlText w:val=""/>
      <w:lvlJc w:val="left"/>
      <w:pPr>
        <w:ind w:left="1701" w:hanging="283"/>
      </w:pPr>
      <w:rPr>
        <w:rFonts w:hint="default"/>
      </w:rPr>
    </w:lvl>
    <w:lvl w:ilvl="8">
      <w:start w:val="1"/>
      <w:numFmt w:val="none"/>
      <w:lvlText w:val=""/>
      <w:lvlJc w:val="left"/>
      <w:pPr>
        <w:ind w:left="5103" w:hanging="567"/>
      </w:pPr>
      <w:rPr>
        <w:rFonts w:hint="default"/>
      </w:rPr>
    </w:lvl>
  </w:abstractNum>
  <w:num w:numId="1" w16cid:durableId="148402003">
    <w:abstractNumId w:val="6"/>
  </w:num>
  <w:num w:numId="2" w16cid:durableId="1425029667">
    <w:abstractNumId w:val="0"/>
  </w:num>
  <w:num w:numId="3" w16cid:durableId="640501478">
    <w:abstractNumId w:val="4"/>
  </w:num>
  <w:num w:numId="4" w16cid:durableId="510532087">
    <w:abstractNumId w:val="2"/>
  </w:num>
  <w:num w:numId="5" w16cid:durableId="1456214359">
    <w:abstractNumId w:val="3"/>
  </w:num>
  <w:num w:numId="6" w16cid:durableId="1388795563">
    <w:abstractNumId w:val="1"/>
  </w:num>
  <w:num w:numId="7" w16cid:durableId="53978391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844"/>
    <w:rsid w:val="00002042"/>
    <w:rsid w:val="00027C27"/>
    <w:rsid w:val="00032E9D"/>
    <w:rsid w:val="0006201E"/>
    <w:rsid w:val="000B248B"/>
    <w:rsid w:val="000C0CF4"/>
    <w:rsid w:val="000D668C"/>
    <w:rsid w:val="000E2E25"/>
    <w:rsid w:val="000E4C1A"/>
    <w:rsid w:val="00107D72"/>
    <w:rsid w:val="00120F47"/>
    <w:rsid w:val="00132D0D"/>
    <w:rsid w:val="00134B80"/>
    <w:rsid w:val="001801E4"/>
    <w:rsid w:val="001B1FBC"/>
    <w:rsid w:val="002361C8"/>
    <w:rsid w:val="00251C6B"/>
    <w:rsid w:val="00267483"/>
    <w:rsid w:val="0027581C"/>
    <w:rsid w:val="00281579"/>
    <w:rsid w:val="002C3BE6"/>
    <w:rsid w:val="002D0651"/>
    <w:rsid w:val="002D66E5"/>
    <w:rsid w:val="002E07DE"/>
    <w:rsid w:val="002E240A"/>
    <w:rsid w:val="002F7AF0"/>
    <w:rsid w:val="00306C61"/>
    <w:rsid w:val="0031430A"/>
    <w:rsid w:val="00320375"/>
    <w:rsid w:val="00325A46"/>
    <w:rsid w:val="00355DF4"/>
    <w:rsid w:val="0037582B"/>
    <w:rsid w:val="00391045"/>
    <w:rsid w:val="003A1FCA"/>
    <w:rsid w:val="003A4576"/>
    <w:rsid w:val="003A5A68"/>
    <w:rsid w:val="003B401D"/>
    <w:rsid w:val="003D3B6F"/>
    <w:rsid w:val="003D54B4"/>
    <w:rsid w:val="003D62BC"/>
    <w:rsid w:val="0041475B"/>
    <w:rsid w:val="00415EEF"/>
    <w:rsid w:val="0045635C"/>
    <w:rsid w:val="00496FC7"/>
    <w:rsid w:val="004C3CB0"/>
    <w:rsid w:val="004D448D"/>
    <w:rsid w:val="004D67DE"/>
    <w:rsid w:val="004F46F4"/>
    <w:rsid w:val="004F6985"/>
    <w:rsid w:val="00517F02"/>
    <w:rsid w:val="00564FAD"/>
    <w:rsid w:val="005971B7"/>
    <w:rsid w:val="005A0413"/>
    <w:rsid w:val="005A7946"/>
    <w:rsid w:val="006058C4"/>
    <w:rsid w:val="00610E29"/>
    <w:rsid w:val="00615539"/>
    <w:rsid w:val="0063507A"/>
    <w:rsid w:val="00663ABA"/>
    <w:rsid w:val="00690B28"/>
    <w:rsid w:val="007017AB"/>
    <w:rsid w:val="0074025E"/>
    <w:rsid w:val="00751042"/>
    <w:rsid w:val="00755D5A"/>
    <w:rsid w:val="007A130E"/>
    <w:rsid w:val="007A169E"/>
    <w:rsid w:val="007A78D3"/>
    <w:rsid w:val="008179F8"/>
    <w:rsid w:val="00821E48"/>
    <w:rsid w:val="008309B9"/>
    <w:rsid w:val="00857548"/>
    <w:rsid w:val="00875660"/>
    <w:rsid w:val="008B2785"/>
    <w:rsid w:val="0090124F"/>
    <w:rsid w:val="00946A41"/>
    <w:rsid w:val="0096382B"/>
    <w:rsid w:val="009A1AFF"/>
    <w:rsid w:val="009B4D70"/>
    <w:rsid w:val="009B7615"/>
    <w:rsid w:val="009D229B"/>
    <w:rsid w:val="00A0265C"/>
    <w:rsid w:val="00A14928"/>
    <w:rsid w:val="00A20300"/>
    <w:rsid w:val="00A545CF"/>
    <w:rsid w:val="00A5798E"/>
    <w:rsid w:val="00A654CB"/>
    <w:rsid w:val="00A66B05"/>
    <w:rsid w:val="00A72120"/>
    <w:rsid w:val="00A75961"/>
    <w:rsid w:val="00A810D2"/>
    <w:rsid w:val="00A82E87"/>
    <w:rsid w:val="00A903A6"/>
    <w:rsid w:val="00AF1AF6"/>
    <w:rsid w:val="00AF26B2"/>
    <w:rsid w:val="00B15670"/>
    <w:rsid w:val="00B23B0A"/>
    <w:rsid w:val="00B23E9F"/>
    <w:rsid w:val="00B33B37"/>
    <w:rsid w:val="00B51BDC"/>
    <w:rsid w:val="00B561C0"/>
    <w:rsid w:val="00B72A79"/>
    <w:rsid w:val="00B773CE"/>
    <w:rsid w:val="00B822E0"/>
    <w:rsid w:val="00B874FC"/>
    <w:rsid w:val="00B94821"/>
    <w:rsid w:val="00BA3947"/>
    <w:rsid w:val="00BB115C"/>
    <w:rsid w:val="00BB1A8C"/>
    <w:rsid w:val="00BC7281"/>
    <w:rsid w:val="00BF4BA3"/>
    <w:rsid w:val="00C1630F"/>
    <w:rsid w:val="00C16ED9"/>
    <w:rsid w:val="00C228B4"/>
    <w:rsid w:val="00C43CA7"/>
    <w:rsid w:val="00C5563D"/>
    <w:rsid w:val="00C91823"/>
    <w:rsid w:val="00C97468"/>
    <w:rsid w:val="00CB552A"/>
    <w:rsid w:val="00CB663D"/>
    <w:rsid w:val="00CC19C7"/>
    <w:rsid w:val="00CE5A64"/>
    <w:rsid w:val="00D008AB"/>
    <w:rsid w:val="00D26FA8"/>
    <w:rsid w:val="00D83981"/>
    <w:rsid w:val="00D87549"/>
    <w:rsid w:val="00D87A5C"/>
    <w:rsid w:val="00D91723"/>
    <w:rsid w:val="00D97D6A"/>
    <w:rsid w:val="00DB07D2"/>
    <w:rsid w:val="00DC1C0A"/>
    <w:rsid w:val="00DE2301"/>
    <w:rsid w:val="00DF0378"/>
    <w:rsid w:val="00DF44FC"/>
    <w:rsid w:val="00E078CD"/>
    <w:rsid w:val="00E20003"/>
    <w:rsid w:val="00E341F2"/>
    <w:rsid w:val="00E3505B"/>
    <w:rsid w:val="00E73969"/>
    <w:rsid w:val="00E935B3"/>
    <w:rsid w:val="00E97173"/>
    <w:rsid w:val="00EB2AAA"/>
    <w:rsid w:val="00ED5DBD"/>
    <w:rsid w:val="00F01561"/>
    <w:rsid w:val="00F036B4"/>
    <w:rsid w:val="00F239A9"/>
    <w:rsid w:val="00F23B17"/>
    <w:rsid w:val="00F241DA"/>
    <w:rsid w:val="00F45125"/>
    <w:rsid w:val="00F51867"/>
    <w:rsid w:val="00F54E42"/>
    <w:rsid w:val="00F76682"/>
    <w:rsid w:val="00F76844"/>
    <w:rsid w:val="00FA4BC1"/>
    <w:rsid w:val="00FB26F0"/>
    <w:rsid w:val="00FC13A3"/>
    <w:rsid w:val="00FD5FFF"/>
    <w:rsid w:val="00F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D59F3"/>
  <w15:chartTrackingRefBased/>
  <w15:docId w15:val="{6A7455BF-DD48-4B44-A5E0-305C0657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3A6"/>
    <w:pPr>
      <w:spacing w:after="160"/>
    </w:pPr>
    <w:rPr>
      <w:rFonts w:ascii="Arial" w:hAnsi="Arial" w:cs="Arial"/>
      <w:color w:val="000000"/>
      <w:szCs w:val="24"/>
    </w:rPr>
  </w:style>
  <w:style w:type="paragraph" w:styleId="Heading1">
    <w:name w:val="heading 1"/>
    <w:basedOn w:val="Normal"/>
    <w:next w:val="Normal"/>
    <w:link w:val="Heading1Char"/>
    <w:uiPriority w:val="9"/>
    <w:qFormat/>
    <w:rsid w:val="00A903A6"/>
    <w:pPr>
      <w:pBdr>
        <w:bottom w:val="single" w:sz="4" w:space="1" w:color="auto"/>
      </w:pBdr>
      <w:spacing w:before="240" w:after="240" w:line="240" w:lineRule="auto"/>
      <w:outlineLvl w:val="0"/>
    </w:pPr>
    <w:rPr>
      <w:b/>
      <w:color w:val="4D4D4F"/>
      <w:sz w:val="28"/>
      <w:szCs w:val="28"/>
    </w:rPr>
  </w:style>
  <w:style w:type="paragraph" w:styleId="Heading2">
    <w:name w:val="heading 2"/>
    <w:basedOn w:val="Normal"/>
    <w:next w:val="Normal"/>
    <w:link w:val="Heading2Char"/>
    <w:uiPriority w:val="9"/>
    <w:qFormat/>
    <w:rsid w:val="00A903A6"/>
    <w:pPr>
      <w:spacing w:line="240" w:lineRule="auto"/>
      <w:outlineLvl w:val="1"/>
    </w:pPr>
    <w:rPr>
      <w:b/>
      <w:color w:val="auto"/>
      <w:sz w:val="24"/>
    </w:rPr>
  </w:style>
  <w:style w:type="paragraph" w:styleId="Heading3">
    <w:name w:val="heading 3"/>
    <w:basedOn w:val="Normal"/>
    <w:next w:val="Normal"/>
    <w:link w:val="Heading3Char"/>
    <w:uiPriority w:val="9"/>
    <w:qFormat/>
    <w:rsid w:val="00A903A6"/>
    <w:pPr>
      <w:spacing w:after="120" w:line="240" w:lineRule="auto"/>
      <w:outlineLvl w:val="2"/>
    </w:pPr>
    <w:rPr>
      <w:i/>
      <w:color w:val="auto"/>
    </w:rPr>
  </w:style>
  <w:style w:type="paragraph" w:styleId="Heading4">
    <w:name w:val="heading 4"/>
    <w:basedOn w:val="Normal"/>
    <w:next w:val="Normal"/>
    <w:link w:val="Heading4Char"/>
    <w:uiPriority w:val="9"/>
    <w:qFormat/>
    <w:rsid w:val="00A903A6"/>
    <w:pPr>
      <w:keepNext/>
      <w:keepLines/>
      <w:spacing w:after="120"/>
      <w:outlineLvl w:val="3"/>
    </w:pPr>
    <w:rPr>
      <w:rFonts w:eastAsiaTheme="majorEastAsia" w:cstheme="majorBidi"/>
      <w:bCs/>
      <w:iCs/>
      <w:u w:val="single"/>
    </w:rPr>
  </w:style>
  <w:style w:type="paragraph" w:styleId="Heading5">
    <w:name w:val="heading 5"/>
    <w:basedOn w:val="NoSpacing"/>
    <w:next w:val="Normal"/>
    <w:link w:val="Heading5Char"/>
    <w:uiPriority w:val="9"/>
    <w:unhideWhenUsed/>
    <w:qFormat/>
    <w:rsid w:val="00A903A6"/>
    <w:pPr>
      <w:outlineLvl w:val="4"/>
    </w:pPr>
    <w:rPr>
      <w:rFonts w:ascii="Arial Black" w:hAnsi="Arial Black"/>
      <w:color w:val="2F2A60" w:themeColor="accent4" w:themeShade="80"/>
    </w:rPr>
  </w:style>
  <w:style w:type="paragraph" w:styleId="Heading6">
    <w:name w:val="heading 6"/>
    <w:basedOn w:val="Normal"/>
    <w:next w:val="Normal"/>
    <w:link w:val="Heading6Char"/>
    <w:uiPriority w:val="9"/>
    <w:unhideWhenUsed/>
    <w:qFormat/>
    <w:rsid w:val="00A903A6"/>
    <w:pPr>
      <w:outlineLvl w:val="5"/>
    </w:pPr>
    <w:rPr>
      <w:i/>
      <w:color w:val="2F2A60" w:themeColor="accent4"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qFormat/>
    <w:rsid w:val="00A903A6"/>
    <w:pPr>
      <w:numPr>
        <w:numId w:val="3"/>
      </w:numPr>
      <w:tabs>
        <w:tab w:val="left" w:pos="1800"/>
        <w:tab w:val="left" w:pos="3240"/>
      </w:tabs>
      <w:spacing w:after="120"/>
    </w:pPr>
  </w:style>
  <w:style w:type="paragraph" w:styleId="Footer">
    <w:name w:val="footer"/>
    <w:basedOn w:val="Normal"/>
    <w:link w:val="FooterChar"/>
    <w:rsid w:val="00A903A6"/>
    <w:pPr>
      <w:tabs>
        <w:tab w:val="center" w:pos="4153"/>
        <w:tab w:val="right" w:pos="8306"/>
      </w:tabs>
    </w:pPr>
    <w:rPr>
      <w:sz w:val="20"/>
    </w:rPr>
  </w:style>
  <w:style w:type="character" w:customStyle="1" w:styleId="FooterChar">
    <w:name w:val="Footer Char"/>
    <w:basedOn w:val="DefaultParagraphFont"/>
    <w:link w:val="Footer"/>
    <w:rsid w:val="00A903A6"/>
    <w:rPr>
      <w:rFonts w:ascii="Arial" w:hAnsi="Arial" w:cs="Arial"/>
      <w:color w:val="000000"/>
      <w:sz w:val="20"/>
      <w:szCs w:val="24"/>
    </w:rPr>
  </w:style>
  <w:style w:type="paragraph" w:styleId="Header">
    <w:name w:val="header"/>
    <w:basedOn w:val="Normal"/>
    <w:link w:val="HeaderChar"/>
    <w:uiPriority w:val="99"/>
    <w:rsid w:val="00A903A6"/>
    <w:pPr>
      <w:tabs>
        <w:tab w:val="center" w:pos="4153"/>
        <w:tab w:val="right" w:pos="8306"/>
      </w:tabs>
    </w:pPr>
  </w:style>
  <w:style w:type="character" w:customStyle="1" w:styleId="HeaderChar">
    <w:name w:val="Header Char"/>
    <w:basedOn w:val="DefaultParagraphFont"/>
    <w:link w:val="Header"/>
    <w:uiPriority w:val="99"/>
    <w:rsid w:val="00A903A6"/>
    <w:rPr>
      <w:rFonts w:ascii="Arial" w:hAnsi="Arial" w:cs="Arial"/>
      <w:color w:val="000000"/>
      <w:szCs w:val="24"/>
    </w:rPr>
  </w:style>
  <w:style w:type="character" w:customStyle="1" w:styleId="Heading1Char">
    <w:name w:val="Heading 1 Char"/>
    <w:basedOn w:val="DefaultParagraphFont"/>
    <w:link w:val="Heading1"/>
    <w:uiPriority w:val="9"/>
    <w:rsid w:val="00A903A6"/>
    <w:rPr>
      <w:rFonts w:ascii="Arial" w:hAnsi="Arial" w:cs="Arial"/>
      <w:b/>
      <w:color w:val="4D4D4F"/>
      <w:sz w:val="28"/>
      <w:szCs w:val="28"/>
    </w:rPr>
  </w:style>
  <w:style w:type="character" w:customStyle="1" w:styleId="Heading2Char">
    <w:name w:val="Heading 2 Char"/>
    <w:basedOn w:val="DefaultParagraphFont"/>
    <w:link w:val="Heading2"/>
    <w:uiPriority w:val="9"/>
    <w:rsid w:val="00A903A6"/>
    <w:rPr>
      <w:rFonts w:ascii="Arial" w:hAnsi="Arial" w:cs="Arial"/>
      <w:b/>
      <w:sz w:val="24"/>
      <w:szCs w:val="24"/>
    </w:rPr>
  </w:style>
  <w:style w:type="character" w:customStyle="1" w:styleId="Heading3Char">
    <w:name w:val="Heading 3 Char"/>
    <w:basedOn w:val="DefaultParagraphFont"/>
    <w:link w:val="Heading3"/>
    <w:uiPriority w:val="9"/>
    <w:rsid w:val="00A903A6"/>
    <w:rPr>
      <w:rFonts w:ascii="Arial" w:hAnsi="Arial" w:cs="Arial"/>
      <w:i/>
      <w:szCs w:val="24"/>
    </w:rPr>
  </w:style>
  <w:style w:type="paragraph" w:customStyle="1" w:styleId="Outline4">
    <w:name w:val="Outline4"/>
    <w:basedOn w:val="Normal"/>
    <w:next w:val="Normal"/>
    <w:rsid w:val="00A903A6"/>
    <w:pPr>
      <w:ind w:left="2160"/>
    </w:pPr>
    <w:rPr>
      <w:kern w:val="24"/>
    </w:rPr>
  </w:style>
  <w:style w:type="paragraph" w:customStyle="1" w:styleId="Outline5">
    <w:name w:val="Outline5"/>
    <w:basedOn w:val="Normal"/>
    <w:next w:val="Normal"/>
    <w:rsid w:val="00A903A6"/>
    <w:pPr>
      <w:ind w:left="720"/>
    </w:pPr>
    <w:rPr>
      <w:kern w:val="24"/>
    </w:rPr>
  </w:style>
  <w:style w:type="paragraph" w:customStyle="1" w:styleId="Outline6">
    <w:name w:val="Outline6"/>
    <w:basedOn w:val="Normal"/>
    <w:next w:val="Normal"/>
    <w:rsid w:val="00A903A6"/>
    <w:pPr>
      <w:spacing w:after="240"/>
      <w:ind w:left="2160"/>
    </w:pPr>
    <w:rPr>
      <w:kern w:val="24"/>
    </w:rPr>
  </w:style>
  <w:style w:type="paragraph" w:customStyle="1" w:styleId="Outline7">
    <w:name w:val="Outline7"/>
    <w:basedOn w:val="Normal"/>
    <w:next w:val="Normal"/>
    <w:rsid w:val="00A903A6"/>
    <w:pPr>
      <w:spacing w:after="240"/>
      <w:ind w:left="720"/>
    </w:pPr>
    <w:rPr>
      <w:kern w:val="24"/>
    </w:rPr>
  </w:style>
  <w:style w:type="character" w:customStyle="1" w:styleId="Heading4Char">
    <w:name w:val="Heading 4 Char"/>
    <w:basedOn w:val="DefaultParagraphFont"/>
    <w:link w:val="Heading4"/>
    <w:uiPriority w:val="9"/>
    <w:rsid w:val="00A903A6"/>
    <w:rPr>
      <w:rFonts w:ascii="Arial" w:eastAsiaTheme="majorEastAsia" w:hAnsi="Arial" w:cstheme="majorBidi"/>
      <w:bCs/>
      <w:iCs/>
      <w:color w:val="000000"/>
      <w:szCs w:val="24"/>
      <w:u w:val="single"/>
    </w:rPr>
  </w:style>
  <w:style w:type="character" w:customStyle="1" w:styleId="Heading5Char">
    <w:name w:val="Heading 5 Char"/>
    <w:basedOn w:val="DefaultParagraphFont"/>
    <w:link w:val="Heading5"/>
    <w:uiPriority w:val="9"/>
    <w:rsid w:val="00A903A6"/>
    <w:rPr>
      <w:rFonts w:ascii="Arial Black" w:hAnsi="Arial Black" w:cs="Arial"/>
      <w:color w:val="2F2A60" w:themeColor="accent4" w:themeShade="80"/>
      <w:szCs w:val="24"/>
    </w:rPr>
  </w:style>
  <w:style w:type="paragraph" w:styleId="NoSpacing">
    <w:name w:val="No Spacing"/>
    <w:uiPriority w:val="1"/>
    <w:qFormat/>
    <w:rsid w:val="00A903A6"/>
    <w:pPr>
      <w:spacing w:after="160" w:line="240" w:lineRule="auto"/>
    </w:pPr>
    <w:rPr>
      <w:rFonts w:ascii="Arial" w:hAnsi="Arial" w:cs="Arial"/>
      <w:color w:val="000000"/>
      <w:szCs w:val="24"/>
    </w:rPr>
  </w:style>
  <w:style w:type="character" w:customStyle="1" w:styleId="Heading6Char">
    <w:name w:val="Heading 6 Char"/>
    <w:basedOn w:val="DefaultParagraphFont"/>
    <w:link w:val="Heading6"/>
    <w:uiPriority w:val="9"/>
    <w:rsid w:val="00A903A6"/>
    <w:rPr>
      <w:rFonts w:ascii="Arial" w:hAnsi="Arial" w:cs="Arial"/>
      <w:i/>
      <w:color w:val="2F2A60" w:themeColor="accent4" w:themeShade="80"/>
      <w:szCs w:val="24"/>
    </w:rPr>
  </w:style>
  <w:style w:type="paragraph" w:styleId="Title">
    <w:name w:val="Title"/>
    <w:aliases w:val="Cover title"/>
    <w:basedOn w:val="Normal"/>
    <w:next w:val="Normal"/>
    <w:link w:val="TitleChar"/>
    <w:uiPriority w:val="10"/>
    <w:qFormat/>
    <w:rsid w:val="00A903A6"/>
    <w:pPr>
      <w:spacing w:after="0" w:line="240" w:lineRule="auto"/>
    </w:pPr>
    <w:rPr>
      <w:b/>
      <w:color w:val="2F2A60" w:themeColor="accent4" w:themeShade="80"/>
      <w:sz w:val="52"/>
      <w:szCs w:val="44"/>
    </w:rPr>
  </w:style>
  <w:style w:type="character" w:customStyle="1" w:styleId="TitleChar">
    <w:name w:val="Title Char"/>
    <w:aliases w:val="Cover title Char"/>
    <w:basedOn w:val="DefaultParagraphFont"/>
    <w:link w:val="Title"/>
    <w:uiPriority w:val="10"/>
    <w:rsid w:val="00A903A6"/>
    <w:rPr>
      <w:rFonts w:ascii="Arial" w:hAnsi="Arial" w:cs="Arial"/>
      <w:b/>
      <w:color w:val="2F2A60" w:themeColor="accent4" w:themeShade="80"/>
      <w:sz w:val="52"/>
      <w:szCs w:val="44"/>
    </w:rPr>
  </w:style>
  <w:style w:type="paragraph" w:styleId="Subtitle">
    <w:name w:val="Subtitle"/>
    <w:basedOn w:val="Normal"/>
    <w:next w:val="Normal"/>
    <w:link w:val="SubtitleChar"/>
    <w:uiPriority w:val="11"/>
    <w:qFormat/>
    <w:rsid w:val="00A903A6"/>
    <w:pPr>
      <w:numPr>
        <w:ilvl w:val="1"/>
      </w:numPr>
    </w:pPr>
    <w:rPr>
      <w:rFonts w:eastAsiaTheme="majorEastAsia" w:cstheme="majorBidi"/>
      <w:b/>
      <w:iCs/>
      <w:color w:val="002060"/>
      <w:sz w:val="28"/>
    </w:rPr>
  </w:style>
  <w:style w:type="character" w:customStyle="1" w:styleId="SubtitleChar">
    <w:name w:val="Subtitle Char"/>
    <w:basedOn w:val="DefaultParagraphFont"/>
    <w:link w:val="Subtitle"/>
    <w:uiPriority w:val="11"/>
    <w:rsid w:val="00A903A6"/>
    <w:rPr>
      <w:rFonts w:ascii="Arial" w:eastAsiaTheme="majorEastAsia" w:hAnsi="Arial" w:cstheme="majorBidi"/>
      <w:b/>
      <w:iCs/>
      <w:color w:val="002060"/>
      <w:sz w:val="28"/>
      <w:szCs w:val="24"/>
    </w:rPr>
  </w:style>
  <w:style w:type="numbering" w:customStyle="1" w:styleId="mystyle">
    <w:name w:val="mystyle"/>
    <w:uiPriority w:val="99"/>
    <w:rsid w:val="00A903A6"/>
    <w:pPr>
      <w:numPr>
        <w:numId w:val="1"/>
      </w:numPr>
    </w:pPr>
  </w:style>
  <w:style w:type="numbering" w:customStyle="1" w:styleId="MyStyle2">
    <w:name w:val="MyStyle2"/>
    <w:uiPriority w:val="99"/>
    <w:rsid w:val="00A903A6"/>
    <w:pPr>
      <w:numPr>
        <w:numId w:val="2"/>
      </w:numPr>
    </w:pPr>
  </w:style>
  <w:style w:type="paragraph" w:styleId="BalloonText">
    <w:name w:val="Balloon Text"/>
    <w:basedOn w:val="Normal"/>
    <w:link w:val="BalloonTextChar"/>
    <w:uiPriority w:val="99"/>
    <w:semiHidden/>
    <w:unhideWhenUsed/>
    <w:rsid w:val="00A9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3A6"/>
    <w:rPr>
      <w:rFonts w:ascii="Segoe UI" w:hAnsi="Segoe UI" w:cs="Segoe UI"/>
      <w:color w:val="000000"/>
      <w:sz w:val="18"/>
      <w:szCs w:val="18"/>
    </w:rPr>
  </w:style>
  <w:style w:type="paragraph" w:styleId="BodyText">
    <w:name w:val="Body Text"/>
    <w:basedOn w:val="Normal"/>
    <w:link w:val="BodyTextChar"/>
    <w:uiPriority w:val="99"/>
    <w:rsid w:val="00A903A6"/>
  </w:style>
  <w:style w:type="character" w:customStyle="1" w:styleId="BodyTextChar">
    <w:name w:val="Body Text Char"/>
    <w:basedOn w:val="DefaultParagraphFont"/>
    <w:link w:val="BodyText"/>
    <w:uiPriority w:val="99"/>
    <w:rsid w:val="00A903A6"/>
    <w:rPr>
      <w:rFonts w:ascii="Arial" w:hAnsi="Arial" w:cs="Arial"/>
      <w:color w:val="000000"/>
      <w:szCs w:val="24"/>
    </w:rPr>
  </w:style>
  <w:style w:type="character" w:styleId="BookTitle">
    <w:name w:val="Book Title"/>
    <w:basedOn w:val="DefaultParagraphFont"/>
    <w:uiPriority w:val="33"/>
    <w:qFormat/>
    <w:rsid w:val="00A903A6"/>
    <w:rPr>
      <w:b/>
      <w:bCs/>
      <w:i/>
      <w:iCs/>
      <w:spacing w:val="5"/>
    </w:rPr>
  </w:style>
  <w:style w:type="paragraph" w:styleId="Caption">
    <w:name w:val="caption"/>
    <w:basedOn w:val="Normal"/>
    <w:next w:val="Normal"/>
    <w:uiPriority w:val="35"/>
    <w:semiHidden/>
    <w:unhideWhenUsed/>
    <w:qFormat/>
    <w:rsid w:val="00A903A6"/>
    <w:pPr>
      <w:spacing w:after="200" w:line="240" w:lineRule="auto"/>
    </w:pPr>
    <w:rPr>
      <w:i/>
      <w:iCs/>
      <w:color w:val="1B3D6D" w:themeColor="text2"/>
      <w:sz w:val="18"/>
      <w:szCs w:val="18"/>
    </w:rPr>
  </w:style>
  <w:style w:type="character" w:styleId="CommentReference">
    <w:name w:val="annotation reference"/>
    <w:basedOn w:val="DefaultParagraphFont"/>
    <w:uiPriority w:val="99"/>
    <w:semiHidden/>
    <w:unhideWhenUsed/>
    <w:rsid w:val="00A903A6"/>
    <w:rPr>
      <w:rFonts w:ascii="Arial" w:hAnsi="Arial"/>
      <w:caps w:val="0"/>
      <w:smallCaps w:val="0"/>
      <w:strike w:val="0"/>
      <w:dstrike w:val="0"/>
      <w:vanish w:val="0"/>
      <w:sz w:val="20"/>
      <w:szCs w:val="16"/>
      <w:vertAlign w:val="baseline"/>
    </w:rPr>
  </w:style>
  <w:style w:type="character" w:styleId="EndnoteReference">
    <w:name w:val="endnote reference"/>
    <w:basedOn w:val="DefaultParagraphFont"/>
    <w:uiPriority w:val="99"/>
    <w:semiHidden/>
    <w:unhideWhenUsed/>
    <w:rsid w:val="00A903A6"/>
    <w:rPr>
      <w:rFonts w:ascii="Arial" w:hAnsi="Arial"/>
      <w:sz w:val="20"/>
      <w:vertAlign w:val="superscript"/>
    </w:rPr>
  </w:style>
  <w:style w:type="character" w:styleId="FootnoteReference">
    <w:name w:val="footnote reference"/>
    <w:basedOn w:val="DefaultParagraphFont"/>
    <w:uiPriority w:val="99"/>
    <w:semiHidden/>
    <w:unhideWhenUsed/>
    <w:rsid w:val="00A903A6"/>
    <w:rPr>
      <w:rFonts w:ascii="Arial" w:hAnsi="Arial"/>
      <w:sz w:val="18"/>
      <w:vertAlign w:val="superscript"/>
    </w:rPr>
  </w:style>
  <w:style w:type="paragraph" w:styleId="HTMLAddress">
    <w:name w:val="HTML Address"/>
    <w:basedOn w:val="Normal"/>
    <w:link w:val="HTMLAddressChar"/>
    <w:uiPriority w:val="99"/>
    <w:semiHidden/>
    <w:unhideWhenUsed/>
    <w:rsid w:val="00A903A6"/>
    <w:pPr>
      <w:spacing w:after="0" w:line="240" w:lineRule="auto"/>
    </w:pPr>
    <w:rPr>
      <w:i/>
      <w:iCs/>
      <w:color w:val="2B5C63" w:themeColor="accent5" w:themeShade="80"/>
    </w:rPr>
  </w:style>
  <w:style w:type="character" w:customStyle="1" w:styleId="HTMLAddressChar">
    <w:name w:val="HTML Address Char"/>
    <w:basedOn w:val="DefaultParagraphFont"/>
    <w:link w:val="HTMLAddress"/>
    <w:uiPriority w:val="99"/>
    <w:semiHidden/>
    <w:rsid w:val="00A903A6"/>
    <w:rPr>
      <w:rFonts w:ascii="Arial" w:hAnsi="Arial" w:cs="Arial"/>
      <w:i/>
      <w:iCs/>
      <w:color w:val="2B5C63" w:themeColor="accent5" w:themeShade="80"/>
      <w:szCs w:val="24"/>
    </w:rPr>
  </w:style>
  <w:style w:type="character" w:styleId="Hyperlink">
    <w:name w:val="Hyperlink"/>
    <w:basedOn w:val="DefaultParagraphFont"/>
    <w:uiPriority w:val="99"/>
    <w:qFormat/>
    <w:rsid w:val="00A903A6"/>
    <w:rPr>
      <w:i/>
      <w:color w:val="0066FF" w:themeColor="hyperlink"/>
      <w:u w:val="single"/>
    </w:rPr>
  </w:style>
  <w:style w:type="character" w:styleId="PageNumber">
    <w:name w:val="page number"/>
    <w:basedOn w:val="DefaultParagraphFont"/>
    <w:uiPriority w:val="99"/>
    <w:semiHidden/>
    <w:unhideWhenUsed/>
    <w:rsid w:val="00A903A6"/>
    <w:rPr>
      <w:rFonts w:ascii="Arial" w:hAnsi="Arial"/>
      <w:sz w:val="20"/>
    </w:rPr>
  </w:style>
  <w:style w:type="paragraph" w:styleId="TOAHeading">
    <w:name w:val="toa heading"/>
    <w:basedOn w:val="Normal"/>
    <w:next w:val="Normal"/>
    <w:uiPriority w:val="99"/>
    <w:semiHidden/>
    <w:unhideWhenUsed/>
    <w:rsid w:val="00A903A6"/>
    <w:pPr>
      <w:spacing w:after="240" w:line="240" w:lineRule="auto"/>
    </w:pPr>
    <w:rPr>
      <w:rFonts w:eastAsiaTheme="majorEastAsia" w:cstheme="majorBidi"/>
      <w:b/>
      <w:bCs/>
      <w:color w:val="2F2A60" w:themeColor="accent4" w:themeShade="80"/>
      <w:sz w:val="28"/>
    </w:rPr>
  </w:style>
  <w:style w:type="paragraph" w:styleId="TOC1">
    <w:name w:val="toc 1"/>
    <w:next w:val="Normal"/>
    <w:uiPriority w:val="39"/>
    <w:unhideWhenUsed/>
    <w:qFormat/>
    <w:rsid w:val="008309B9"/>
    <w:pPr>
      <w:spacing w:before="240" w:after="120"/>
    </w:pPr>
    <w:rPr>
      <w:rFonts w:cstheme="minorHAnsi"/>
      <w:bCs/>
      <w:color w:val="000000"/>
      <w:szCs w:val="20"/>
    </w:rPr>
  </w:style>
  <w:style w:type="paragraph" w:styleId="TOC2">
    <w:name w:val="toc 2"/>
    <w:basedOn w:val="Heading2"/>
    <w:next w:val="Normal"/>
    <w:uiPriority w:val="39"/>
    <w:unhideWhenUsed/>
    <w:qFormat/>
    <w:rsid w:val="00A903A6"/>
    <w:pPr>
      <w:spacing w:before="120" w:after="0" w:line="276" w:lineRule="auto"/>
      <w:ind w:left="220"/>
      <w:outlineLvl w:val="9"/>
    </w:pPr>
    <w:rPr>
      <w:rFonts w:asciiTheme="minorHAnsi" w:hAnsiTheme="minorHAnsi" w:cstheme="minorHAnsi"/>
      <w:b w:val="0"/>
      <w:i/>
      <w:iCs/>
      <w:color w:val="000000"/>
      <w:sz w:val="20"/>
      <w:szCs w:val="20"/>
    </w:rPr>
  </w:style>
  <w:style w:type="paragraph" w:styleId="TOC3">
    <w:name w:val="toc 3"/>
    <w:basedOn w:val="Normal"/>
    <w:next w:val="Normal"/>
    <w:autoRedefine/>
    <w:uiPriority w:val="39"/>
    <w:unhideWhenUsed/>
    <w:qFormat/>
    <w:rsid w:val="00A903A6"/>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A903A6"/>
    <w:pPr>
      <w:spacing w:after="0"/>
      <w:ind w:left="660"/>
    </w:pPr>
    <w:rPr>
      <w:rFonts w:asciiTheme="minorHAnsi" w:hAnsiTheme="minorHAnsi" w:cstheme="minorHAnsi"/>
      <w:sz w:val="20"/>
      <w:szCs w:val="20"/>
    </w:rPr>
  </w:style>
  <w:style w:type="paragraph" w:styleId="FootnoteText">
    <w:name w:val="footnote text"/>
    <w:basedOn w:val="Normal"/>
    <w:link w:val="FootnoteTextChar"/>
    <w:qFormat/>
    <w:rsid w:val="00A903A6"/>
    <w:pPr>
      <w:spacing w:after="80" w:line="240" w:lineRule="auto"/>
    </w:pPr>
    <w:rPr>
      <w:color w:val="auto"/>
      <w:sz w:val="18"/>
      <w:szCs w:val="20"/>
    </w:rPr>
  </w:style>
  <w:style w:type="character" w:customStyle="1" w:styleId="FootnoteTextChar">
    <w:name w:val="Footnote Text Char"/>
    <w:basedOn w:val="DefaultParagraphFont"/>
    <w:link w:val="FootnoteText"/>
    <w:rsid w:val="00A903A6"/>
    <w:rPr>
      <w:rFonts w:ascii="Arial" w:hAnsi="Arial" w:cs="Arial"/>
      <w:sz w:val="18"/>
      <w:szCs w:val="20"/>
    </w:rPr>
  </w:style>
  <w:style w:type="paragraph" w:customStyle="1" w:styleId="Sectiontitle">
    <w:name w:val="Section title"/>
    <w:basedOn w:val="Subtitle"/>
    <w:next w:val="Normal"/>
    <w:uiPriority w:val="11"/>
    <w:qFormat/>
    <w:rsid w:val="00A903A6"/>
    <w:pPr>
      <w:spacing w:after="0" w:line="240" w:lineRule="auto"/>
    </w:pPr>
    <w:rPr>
      <w:sz w:val="32"/>
      <w:szCs w:val="32"/>
    </w:rPr>
  </w:style>
  <w:style w:type="paragraph" w:styleId="CommentText">
    <w:name w:val="annotation text"/>
    <w:basedOn w:val="Normal"/>
    <w:link w:val="CommentTextChar"/>
    <w:qFormat/>
    <w:rsid w:val="00A903A6"/>
    <w:pPr>
      <w:spacing w:after="80" w:line="240" w:lineRule="auto"/>
    </w:pPr>
    <w:rPr>
      <w:rFonts w:cstheme="minorBidi"/>
      <w:color w:val="auto"/>
      <w:sz w:val="18"/>
      <w:szCs w:val="22"/>
    </w:rPr>
  </w:style>
  <w:style w:type="character" w:customStyle="1" w:styleId="CommentTextChar">
    <w:name w:val="Comment Text Char"/>
    <w:basedOn w:val="DefaultParagraphFont"/>
    <w:link w:val="CommentText"/>
    <w:rsid w:val="00A903A6"/>
    <w:rPr>
      <w:rFonts w:ascii="Arial" w:hAnsi="Arial"/>
      <w:sz w:val="18"/>
    </w:rPr>
  </w:style>
  <w:style w:type="paragraph" w:styleId="ListParagraph">
    <w:name w:val="List Paragraph"/>
    <w:basedOn w:val="Normal"/>
    <w:uiPriority w:val="34"/>
    <w:qFormat/>
    <w:rsid w:val="00A903A6"/>
    <w:pPr>
      <w:ind w:left="720"/>
    </w:pPr>
  </w:style>
  <w:style w:type="paragraph" w:styleId="Quote">
    <w:name w:val="Quote"/>
    <w:basedOn w:val="Normal"/>
    <w:next w:val="Normal"/>
    <w:link w:val="QuoteChar"/>
    <w:uiPriority w:val="29"/>
    <w:qFormat/>
    <w:rsid w:val="00A903A6"/>
    <w:pPr>
      <w:ind w:left="360"/>
    </w:pPr>
    <w:rPr>
      <w:i/>
      <w:iCs/>
      <w:color w:val="000000" w:themeColor="text1"/>
    </w:rPr>
  </w:style>
  <w:style w:type="character" w:customStyle="1" w:styleId="QuoteChar">
    <w:name w:val="Quote Char"/>
    <w:basedOn w:val="DefaultParagraphFont"/>
    <w:link w:val="Quote"/>
    <w:uiPriority w:val="29"/>
    <w:rsid w:val="00A903A6"/>
    <w:rPr>
      <w:rFonts w:ascii="Arial" w:hAnsi="Arial" w:cs="Arial"/>
      <w:i/>
      <w:iCs/>
      <w:color w:val="000000" w:themeColor="text1"/>
      <w:szCs w:val="24"/>
    </w:rPr>
  </w:style>
  <w:style w:type="paragraph" w:styleId="TOCHeading">
    <w:name w:val="TOC Heading"/>
    <w:basedOn w:val="Heading1"/>
    <w:next w:val="Normal"/>
    <w:uiPriority w:val="39"/>
    <w:unhideWhenUsed/>
    <w:qFormat/>
    <w:rsid w:val="00A903A6"/>
    <w:pPr>
      <w:keepNext/>
      <w:keepLines/>
      <w:pBdr>
        <w:bottom w:val="none" w:sz="0" w:space="0" w:color="auto"/>
      </w:pBdr>
      <w:spacing w:before="480" w:after="0" w:line="276" w:lineRule="auto"/>
      <w:outlineLvl w:val="9"/>
    </w:pPr>
    <w:rPr>
      <w:rFonts w:asciiTheme="majorHAnsi" w:eastAsiaTheme="majorEastAsia" w:hAnsiTheme="majorHAnsi" w:cstheme="majorBidi"/>
      <w:bCs/>
      <w:color w:val="142D51" w:themeColor="accent1" w:themeShade="BF"/>
      <w:lang w:val="en-US" w:eastAsia="ja-JP"/>
    </w:rPr>
  </w:style>
  <w:style w:type="character" w:styleId="IntenseReference">
    <w:name w:val="Intense Reference"/>
    <w:basedOn w:val="DefaultParagraphFont"/>
    <w:uiPriority w:val="32"/>
    <w:qFormat/>
    <w:rsid w:val="00A903A6"/>
    <w:rPr>
      <w:b/>
      <w:bCs/>
      <w:i/>
      <w:smallCaps/>
      <w:color w:val="27569E" w:themeColor="accent2" w:themeShade="80"/>
      <w:spacing w:val="5"/>
    </w:rPr>
  </w:style>
  <w:style w:type="table" w:styleId="TableGrid">
    <w:name w:val="Table Grid"/>
    <w:basedOn w:val="TableNormal"/>
    <w:rsid w:val="00A149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810D2"/>
    <w:pPr>
      <w:spacing w:after="160"/>
    </w:pPr>
    <w:rPr>
      <w:rFonts w:cs="Arial"/>
      <w:b/>
      <w:bCs/>
      <w:color w:val="000000"/>
      <w:sz w:val="20"/>
      <w:szCs w:val="20"/>
    </w:rPr>
  </w:style>
  <w:style w:type="character" w:customStyle="1" w:styleId="CommentSubjectChar">
    <w:name w:val="Comment Subject Char"/>
    <w:basedOn w:val="CommentTextChar"/>
    <w:link w:val="CommentSubject"/>
    <w:uiPriority w:val="99"/>
    <w:semiHidden/>
    <w:rsid w:val="00A810D2"/>
    <w:rPr>
      <w:rFonts w:ascii="Arial" w:hAnsi="Arial" w:cs="Arial"/>
      <w:b/>
      <w:bCs/>
      <w:color w:val="000000"/>
      <w:sz w:val="20"/>
      <w:szCs w:val="20"/>
    </w:rPr>
  </w:style>
  <w:style w:type="character" w:styleId="FollowedHyperlink">
    <w:name w:val="FollowedHyperlink"/>
    <w:basedOn w:val="DefaultParagraphFont"/>
    <w:uiPriority w:val="99"/>
    <w:semiHidden/>
    <w:unhideWhenUsed/>
    <w:rsid w:val="004D448D"/>
    <w:rPr>
      <w:color w:val="A6779A" w:themeColor="followedHyperlink"/>
      <w:u w:val="single"/>
    </w:rPr>
  </w:style>
  <w:style w:type="paragraph" w:styleId="TOC5">
    <w:name w:val="toc 5"/>
    <w:basedOn w:val="Normal"/>
    <w:next w:val="Normal"/>
    <w:autoRedefine/>
    <w:uiPriority w:val="39"/>
    <w:unhideWhenUsed/>
    <w:rsid w:val="008309B9"/>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8309B9"/>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8309B9"/>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8309B9"/>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8309B9"/>
    <w:pPr>
      <w:spacing w:after="0"/>
      <w:ind w:left="1760"/>
    </w:pPr>
    <w:rPr>
      <w:rFonts w:asciiTheme="minorHAnsi" w:hAnsiTheme="minorHAnsi" w:cstheme="minorHAnsi"/>
      <w:sz w:val="20"/>
      <w:szCs w:val="20"/>
    </w:rPr>
  </w:style>
  <w:style w:type="paragraph" w:styleId="Revision">
    <w:name w:val="Revision"/>
    <w:hidden/>
    <w:uiPriority w:val="99"/>
    <w:semiHidden/>
    <w:rsid w:val="002F7AF0"/>
    <w:pPr>
      <w:spacing w:after="0" w:line="240" w:lineRule="auto"/>
    </w:pPr>
    <w:rPr>
      <w:rFonts w:ascii="Arial" w:hAnsi="Arial" w:cs="Arial"/>
      <w:color w:val="000000"/>
      <w:szCs w:val="24"/>
    </w:rPr>
  </w:style>
  <w:style w:type="character" w:customStyle="1" w:styleId="legdslegp1no">
    <w:name w:val="legds legp1no"/>
    <w:basedOn w:val="DefaultParagraphFont"/>
    <w:rsid w:val="002F7AF0"/>
  </w:style>
  <w:style w:type="character" w:customStyle="1" w:styleId="legdslegp1grouptitle">
    <w:name w:val="legds legp1grouptitle"/>
    <w:basedOn w:val="DefaultParagraphFont"/>
    <w:rsid w:val="002F7AF0"/>
  </w:style>
  <w:style w:type="character" w:customStyle="1" w:styleId="legdsleglhslegp2no">
    <w:name w:val="legds leglhs legp2no"/>
    <w:basedOn w:val="DefaultParagraphFont"/>
    <w:rsid w:val="002F7AF0"/>
  </w:style>
  <w:style w:type="character" w:customStyle="1" w:styleId="legdslegrhslegp2text">
    <w:name w:val="legds legrhs legp2text"/>
    <w:basedOn w:val="DefaultParagraphFont"/>
    <w:rsid w:val="002F7AF0"/>
  </w:style>
  <w:style w:type="character" w:customStyle="1" w:styleId="legdsleglhslegp3no">
    <w:name w:val="legds leglhs legp3no"/>
    <w:basedOn w:val="DefaultParagraphFont"/>
    <w:rsid w:val="002F7AF0"/>
  </w:style>
  <w:style w:type="character" w:customStyle="1" w:styleId="legdslegrhslegp3text">
    <w:name w:val="legds legrhs legp3text"/>
    <w:basedOn w:val="DefaultParagraphFont"/>
    <w:rsid w:val="002F7AF0"/>
  </w:style>
  <w:style w:type="character" w:customStyle="1" w:styleId="legdsleglhslegp4no">
    <w:name w:val="legds leglhs legp4no"/>
    <w:basedOn w:val="DefaultParagraphFont"/>
    <w:rsid w:val="002F7AF0"/>
  </w:style>
  <w:style w:type="character" w:customStyle="1" w:styleId="legdslegrhslegp4text">
    <w:name w:val="legds legrhs legp4text"/>
    <w:basedOn w:val="DefaultParagraphFont"/>
    <w:rsid w:val="002F7AF0"/>
  </w:style>
  <w:style w:type="character" w:styleId="UnresolvedMention">
    <w:name w:val="Unresolved Mention"/>
    <w:basedOn w:val="DefaultParagraphFont"/>
    <w:uiPriority w:val="99"/>
    <w:semiHidden/>
    <w:unhideWhenUsed/>
    <w:rsid w:val="00946A41"/>
    <w:rPr>
      <w:color w:val="605E5C"/>
      <w:shd w:val="clear" w:color="auto" w:fill="E1DFDD"/>
    </w:rPr>
  </w:style>
  <w:style w:type="paragraph" w:customStyle="1" w:styleId="NormalSPSO">
    <w:name w:val="Normal (SPSO)"/>
    <w:basedOn w:val="Normal"/>
    <w:qFormat/>
    <w:rsid w:val="00821E48"/>
    <w:rPr>
      <w:rFonts w:eastAsia="Times New Roman" w:cs="Times New Roman"/>
      <w:color w:val="aut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pso.org.uk/spso-policie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so.org.uk/sites/spso/files/Corporate/SPSO2024-28Strategic-Pla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so.org.uk/annual-repor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spso.org.uk/about-u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opsi.gov.uk/acts/acts2000/ukpga_20000036_en_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PSO">
  <a:themeElements>
    <a:clrScheme name="SPSO1">
      <a:dk1>
        <a:sysClr val="windowText" lastClr="000000"/>
      </a:dk1>
      <a:lt1>
        <a:sysClr val="window" lastClr="FFFFFF"/>
      </a:lt1>
      <a:dk2>
        <a:srgbClr val="1B3D6D"/>
      </a:dk2>
      <a:lt2>
        <a:srgbClr val="EAE5EB"/>
      </a:lt2>
      <a:accent1>
        <a:srgbClr val="1B3D6D"/>
      </a:accent1>
      <a:accent2>
        <a:srgbClr val="A2BEE8"/>
      </a:accent2>
      <a:accent3>
        <a:srgbClr val="A6779A"/>
      </a:accent3>
      <a:accent4>
        <a:srgbClr val="665EB8"/>
      </a:accent4>
      <a:accent5>
        <a:srgbClr val="63B0BB"/>
      </a:accent5>
      <a:accent6>
        <a:srgbClr val="BFDFE3"/>
      </a:accent6>
      <a:hlink>
        <a:srgbClr val="0066FF"/>
      </a:hlink>
      <a:folHlink>
        <a:srgbClr val="A6779A"/>
      </a:folHlink>
    </a:clrScheme>
    <a:fontScheme name="SPSO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A51782452</value>
    </field>
    <field name="Objective-Title">
      <value order="0">Accountant Tender - Accountant Services 2025 - Invitation to Tender - 250311</value>
    </field>
    <field name="Objective-Description">
      <value order="0"/>
    </field>
    <field name="Objective-CreationStamp">
      <value order="0">2025-02-12T15:58:58Z</value>
    </field>
    <field name="Objective-IsApproved">
      <value order="0">false</value>
    </field>
    <field name="Objective-IsPublished">
      <value order="0">false</value>
    </field>
    <field name="Objective-DatePublished">
      <value order="0"/>
    </field>
    <field name="Objective-ModificationStamp">
      <value order="0">2025-03-10T12:58:09Z</value>
    </field>
    <field name="Objective-Owner">
      <value order="0">Paterson, Fiona F (N300555)</value>
    </field>
    <field name="Objective-Path">
      <value order="0">Objective Global Folder:Scottish Public Services Ombudsman File Plan:Corporate Governance:Finance:Contracts and Tenders, Procurement:Advisers - external: Part 3: 2023-2025</value>
    </field>
    <field name="Objective-Parent">
      <value order="0">Advisers - external: Part 3: 2023-2025</value>
    </field>
    <field name="Objective-State">
      <value order="0">Being Edited</value>
    </field>
    <field name="Objective-VersionId">
      <value order="0">vA78677185</value>
    </field>
    <field name="Objective-Version">
      <value order="0">0.10</value>
    </field>
    <field name="Objective-VersionNumber">
      <value order="0">10</value>
    </field>
    <field name="Objective-VersionComment">
      <value order="0"/>
    </field>
    <field name="Objective-FileNumber">
      <value order="0">BUSPROC/9943</value>
    </field>
    <field name="Objective-Classification">
      <value order="0">OFFICIAL</value>
    </field>
    <field name="Objective-Caveats">
      <value order="0">Caveat for Scottish Public Services Ombudsman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50586D8B-32A8-403E-A9C8-250B9A9B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Fiona Paterson</cp:lastModifiedBy>
  <cp:revision>18</cp:revision>
  <dcterms:created xsi:type="dcterms:W3CDTF">2025-02-12T15:58:00Z</dcterms:created>
  <dcterms:modified xsi:type="dcterms:W3CDTF">2025-03-10T13:04:00Z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A51782452</vt:lpwstr>
  </property>
  <property fmtid="{D5CDD505-2E9C-101B-9397-08002B2CF9AE}" pid="4" name="Objective-Title">
    <vt:lpwstr>Accountant Tender - Accountant Services 2025 - Invitation to Tender - 250311</vt:lpwstr>
  </property>
  <property fmtid="{D5CDD505-2E9C-101B-9397-08002B2CF9AE}" pid="5" name="Objective-Description">
    <vt:lpwstr/>
  </property>
  <property fmtid="{D5CDD505-2E9C-101B-9397-08002B2CF9AE}" pid="6" name="Objective-CreationStamp">
    <vt:filetime>2025-02-12T15:58:58Z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2025-03-10T12:58:09Z</vt:filetime>
  </property>
  <property fmtid="{D5CDD505-2E9C-101B-9397-08002B2CF9AE}" pid="11" name="Objective-Owner">
    <vt:lpwstr>Paterson, Fiona F (N300555)</vt:lpwstr>
  </property>
  <property fmtid="{D5CDD505-2E9C-101B-9397-08002B2CF9AE}" pid="12" name="Objective-Path">
    <vt:lpwstr>Objective Global Folder:Scottish Public Services Ombudsman File Plan:Corporate Governance:Finance:Contracts and Tenders, Procurement:Advisers - external: Part 3: 2023-2025</vt:lpwstr>
  </property>
  <property fmtid="{D5CDD505-2E9C-101B-9397-08002B2CF9AE}" pid="13" name="Objective-Parent">
    <vt:lpwstr>Advisers - external: Part 3: 2023-2025</vt:lpwstr>
  </property>
  <property fmtid="{D5CDD505-2E9C-101B-9397-08002B2CF9AE}" pid="14" name="Objective-State">
    <vt:lpwstr>Being Edited</vt:lpwstr>
  </property>
  <property fmtid="{D5CDD505-2E9C-101B-9397-08002B2CF9AE}" pid="15" name="Objective-VersionId">
    <vt:lpwstr>vA78677185</vt:lpwstr>
  </property>
  <property fmtid="{D5CDD505-2E9C-101B-9397-08002B2CF9AE}" pid="16" name="Objective-Version">
    <vt:lpwstr>0.10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BUSPROC/9943</vt:lpwstr>
  </property>
  <property fmtid="{D5CDD505-2E9C-101B-9397-08002B2CF9AE}" pid="20" name="Objective-Classification">
    <vt:lpwstr>OFFICIAL</vt:lpwstr>
  </property>
  <property fmtid="{D5CDD505-2E9C-101B-9397-08002B2CF9AE}" pid="21" name="Objective-Caveats">
    <vt:lpwstr>Caveat for Scottish Public Services Ombudsman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